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231D" w14:textId="58065CA0" w:rsidR="00C0139B" w:rsidRPr="002B09FC" w:rsidRDefault="00C0139B" w:rsidP="00C0139B">
      <w:pPr>
        <w:keepNext/>
        <w:keepLines/>
        <w:spacing w:before="40" w:after="0" w:line="240" w:lineRule="auto"/>
        <w:outlineLvl w:val="1"/>
        <w:rPr>
          <w:rFonts w:ascii="Arial" w:eastAsia="Times New Roman" w:hAnsi="Arial" w:cs="Times New Roman"/>
          <w:color w:val="002060"/>
          <w:kern w:val="2"/>
          <w:sz w:val="32"/>
          <w:szCs w:val="32"/>
          <w14:ligatures w14:val="standardContextual"/>
        </w:rPr>
      </w:pPr>
      <w:r w:rsidRPr="002B09FC">
        <w:rPr>
          <w:rFonts w:ascii="Arial" w:eastAsia="Times New Roman" w:hAnsi="Arial" w:cs="Times New Roman"/>
          <w:color w:val="002060"/>
          <w:kern w:val="2"/>
          <w:sz w:val="32"/>
          <w:szCs w:val="32"/>
          <w14:ligatures w14:val="standardContextual"/>
        </w:rPr>
        <w:t>Issues</w:t>
      </w:r>
    </w:p>
    <w:p w14:paraId="0AEDF3B8" w14:textId="77777777" w:rsidR="00C0139B" w:rsidRPr="002B09FC" w:rsidRDefault="00C0139B" w:rsidP="00C0139B">
      <w:pPr>
        <w:spacing w:after="120" w:line="360" w:lineRule="auto"/>
        <w:rPr>
          <w:rFonts w:ascii="Arial" w:eastAsia="Arial" w:hAnsi="Arial" w:cs="Arial"/>
          <w:color w:val="333333"/>
          <w:kern w:val="2"/>
          <w:sz w:val="6"/>
          <w:szCs w:val="8"/>
          <w14:ligatures w14:val="standardContextual"/>
        </w:rPr>
      </w:pPr>
    </w:p>
    <w:p w14:paraId="7EF410DB" w14:textId="1FCFAAFC" w:rsidR="00540C15" w:rsidRPr="00B12D2F" w:rsidRDefault="00BC3850" w:rsidP="00540C15">
      <w:pPr>
        <w:numPr>
          <w:ilvl w:val="0"/>
          <w:numId w:val="3"/>
        </w:numPr>
        <w:spacing w:after="120" w:line="240" w:lineRule="auto"/>
        <w:rPr>
          <w:rFonts w:ascii="Arial" w:eastAsia="Arial" w:hAnsi="Arial" w:cs="Arial"/>
          <w:b/>
          <w:bCs/>
          <w:kern w:val="2"/>
          <w:szCs w:val="24"/>
          <w14:ligatures w14:val="standardContextual"/>
        </w:rPr>
      </w:pPr>
      <w:r w:rsidRPr="00B12D2F">
        <w:rPr>
          <w:rFonts w:ascii="Arial" w:eastAsia="Arial" w:hAnsi="Arial" w:cs="Arial"/>
          <w:b/>
          <w:bCs/>
          <w:kern w:val="2"/>
          <w:szCs w:val="24"/>
          <w14:ligatures w14:val="standardContextual"/>
        </w:rPr>
        <w:t>Preserv</w:t>
      </w:r>
      <w:r w:rsidR="00A64D21" w:rsidRPr="00B12D2F">
        <w:rPr>
          <w:rFonts w:ascii="Arial" w:eastAsia="Arial" w:hAnsi="Arial" w:cs="Arial"/>
          <w:b/>
          <w:bCs/>
          <w:kern w:val="2"/>
          <w:szCs w:val="24"/>
          <w14:ligatures w14:val="standardContextual"/>
        </w:rPr>
        <w:t>e</w:t>
      </w:r>
      <w:r w:rsidRPr="00B12D2F">
        <w:rPr>
          <w:rFonts w:ascii="Arial" w:eastAsia="Arial" w:hAnsi="Arial" w:cs="Arial"/>
          <w:b/>
          <w:bCs/>
          <w:kern w:val="2"/>
          <w:szCs w:val="24"/>
          <w14:ligatures w14:val="standardContextual"/>
        </w:rPr>
        <w:t xml:space="preserve"> the </w:t>
      </w:r>
      <w:r w:rsidR="00540C15" w:rsidRPr="00B12D2F">
        <w:rPr>
          <w:rFonts w:ascii="Arial" w:eastAsia="Arial" w:hAnsi="Arial" w:cs="Arial"/>
          <w:b/>
          <w:bCs/>
          <w:kern w:val="2"/>
          <w:szCs w:val="24"/>
          <w14:ligatures w14:val="standardContextual"/>
        </w:rPr>
        <w:t xml:space="preserve">Credit Union Tax Status </w:t>
      </w:r>
    </w:p>
    <w:p w14:paraId="583675B2" w14:textId="31D42399" w:rsidR="00BC3850" w:rsidRPr="00B12D2F" w:rsidRDefault="00BC3850" w:rsidP="00BC3850">
      <w:pPr>
        <w:pStyle w:val="ListParagraph"/>
        <w:numPr>
          <w:ilvl w:val="0"/>
          <w:numId w:val="26"/>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The One Bill Beautiful Bill, signed into law on July 4, 2025, was a significant victory for credit unions as it did not alter the existing CU tax status.</w:t>
      </w:r>
    </w:p>
    <w:p w14:paraId="3C4E0F25" w14:textId="77777777" w:rsidR="00BC3850" w:rsidRPr="00B12D2F" w:rsidRDefault="00BC3850" w:rsidP="00BC3850">
      <w:pPr>
        <w:pStyle w:val="ListParagraph"/>
        <w:numPr>
          <w:ilvl w:val="0"/>
          <w:numId w:val="26"/>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The possibility of Congress advancing additional reconciliation bills could reignite the tax debate.</w:t>
      </w:r>
    </w:p>
    <w:p w14:paraId="19A7E459" w14:textId="77777777" w:rsidR="00BC3850" w:rsidRPr="00B12D2F" w:rsidRDefault="00BC3850" w:rsidP="00BC3850">
      <w:pPr>
        <w:pStyle w:val="ListParagraph"/>
        <w:numPr>
          <w:ilvl w:val="0"/>
          <w:numId w:val="26"/>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 xml:space="preserve">The American Bankers Association has already written a letter to the Department of the Treasury requesting further scrutinization of the CU tax status.  </w:t>
      </w:r>
    </w:p>
    <w:p w14:paraId="45DC6F3A" w14:textId="77777777" w:rsidR="00AD285F" w:rsidRPr="00B12D2F" w:rsidRDefault="00AD285F" w:rsidP="00AD285F">
      <w:pPr>
        <w:spacing w:after="120" w:line="360" w:lineRule="auto"/>
        <w:rPr>
          <w:rFonts w:ascii="Arial" w:eastAsia="Arial" w:hAnsi="Arial" w:cs="Arial"/>
          <w:color w:val="333333"/>
          <w:kern w:val="2"/>
          <w:sz w:val="4"/>
          <w:szCs w:val="6"/>
          <w14:ligatures w14:val="standardContextual"/>
        </w:rPr>
      </w:pPr>
    </w:p>
    <w:p w14:paraId="0AB2A236" w14:textId="5140A7C3" w:rsidR="00AD285F" w:rsidRPr="00B12D2F" w:rsidRDefault="00AD285F" w:rsidP="00AD285F">
      <w:pPr>
        <w:numPr>
          <w:ilvl w:val="0"/>
          <w:numId w:val="3"/>
        </w:numPr>
        <w:spacing w:after="120" w:line="240" w:lineRule="auto"/>
        <w:rPr>
          <w:rFonts w:ascii="Arial" w:eastAsia="Arial" w:hAnsi="Arial" w:cs="Arial"/>
          <w:b/>
          <w:bCs/>
          <w:i/>
          <w:iCs/>
          <w:kern w:val="2"/>
          <w:szCs w:val="24"/>
          <w14:ligatures w14:val="standardContextual"/>
        </w:rPr>
      </w:pPr>
      <w:r w:rsidRPr="00B12D2F">
        <w:rPr>
          <w:rFonts w:ascii="Arial" w:eastAsia="Arial" w:hAnsi="Arial" w:cs="Arial"/>
          <w:b/>
          <w:bCs/>
          <w:i/>
          <w:iCs/>
          <w:kern w:val="2"/>
          <w:szCs w:val="24"/>
          <w14:ligatures w14:val="standardContextual"/>
        </w:rPr>
        <w:t xml:space="preserve">Credit Card Competition Act </w:t>
      </w:r>
      <w:r w:rsidR="00BC3850" w:rsidRPr="00B12D2F">
        <w:rPr>
          <w:rFonts w:ascii="Arial" w:eastAsia="Arial" w:hAnsi="Arial" w:cs="Arial"/>
          <w:b/>
          <w:bCs/>
          <w:kern w:val="2"/>
          <w:szCs w:val="24"/>
          <w14:ligatures w14:val="standardContextual"/>
        </w:rPr>
        <w:t xml:space="preserve">(Interchange) </w:t>
      </w:r>
    </w:p>
    <w:p w14:paraId="105CFF0D" w14:textId="77777777" w:rsidR="00BC3850" w:rsidRPr="00B12D2F" w:rsidRDefault="00BC3850" w:rsidP="00BC3850">
      <w:pPr>
        <w:numPr>
          <w:ilvl w:val="0"/>
          <w:numId w:val="7"/>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Proposed legislation would impose routing mandates and reduce interchange income.</w:t>
      </w:r>
    </w:p>
    <w:p w14:paraId="5AB1490C" w14:textId="77777777" w:rsidR="00BC3850" w:rsidRPr="00B12D2F" w:rsidRDefault="00BC3850" w:rsidP="00BC3850">
      <w:pPr>
        <w:numPr>
          <w:ilvl w:val="0"/>
          <w:numId w:val="7"/>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This disproportionately harms smaller issuers like credit unions, threatening member rewards, fraud protection, and affordable card access.</w:t>
      </w:r>
    </w:p>
    <w:p w14:paraId="5E4C3B75" w14:textId="77777777" w:rsidR="00BC3850" w:rsidRPr="00B12D2F" w:rsidRDefault="00BC3850" w:rsidP="00BC3850">
      <w:pPr>
        <w:numPr>
          <w:ilvl w:val="0"/>
          <w:numId w:val="7"/>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 xml:space="preserve">The Durbin-Marshall credit card bill has been (and will continue to be) introduced as an amendment in numerous must-pass Senate legislation throughout the years. The NDAA is the next such expected bill to be under threat of CCCA inclusion. </w:t>
      </w:r>
    </w:p>
    <w:p w14:paraId="5D7B0FC4" w14:textId="4FDE2DE0" w:rsidR="00AD285F" w:rsidRPr="00B12D2F" w:rsidRDefault="00BC3850" w:rsidP="00AD285F">
      <w:pPr>
        <w:numPr>
          <w:ilvl w:val="0"/>
          <w:numId w:val="3"/>
        </w:numPr>
        <w:spacing w:after="120" w:line="240" w:lineRule="auto"/>
        <w:rPr>
          <w:rFonts w:ascii="Arial" w:eastAsia="Arial" w:hAnsi="Arial" w:cs="Arial"/>
          <w:b/>
          <w:bCs/>
          <w:kern w:val="2"/>
          <w:szCs w:val="24"/>
          <w14:ligatures w14:val="standardContextual"/>
        </w:rPr>
      </w:pPr>
      <w:r w:rsidRPr="00B12D2F">
        <w:rPr>
          <w:rFonts w:ascii="Arial" w:eastAsia="Arial" w:hAnsi="Arial" w:cs="Arial"/>
          <w:b/>
          <w:bCs/>
          <w:kern w:val="2"/>
          <w:szCs w:val="24"/>
          <w14:ligatures w14:val="standardContextual"/>
        </w:rPr>
        <w:t xml:space="preserve">Regulatory Burdens and Compliance Costs </w:t>
      </w:r>
    </w:p>
    <w:p w14:paraId="67CF7391" w14:textId="23713223" w:rsidR="00BC3850" w:rsidRPr="00B12D2F" w:rsidRDefault="00BC3850" w:rsidP="00BC3850">
      <w:pPr>
        <w:numPr>
          <w:ilvl w:val="0"/>
          <w:numId w:val="5"/>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Excessive and overlapping regulatory requirements from the CFPB, NCUA, and FinCEN are driving up costs and limiting service to members.</w:t>
      </w:r>
    </w:p>
    <w:p w14:paraId="1C917751" w14:textId="77777777" w:rsidR="00BC3850" w:rsidRPr="00B12D2F" w:rsidRDefault="00BC3850" w:rsidP="00BC3850">
      <w:pPr>
        <w:numPr>
          <w:ilvl w:val="0"/>
          <w:numId w:val="5"/>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Concerns include overdraft/NSF fee proposals, data privacy compliance, and expanded Bank Secrecy Act reporting obligations.</w:t>
      </w:r>
    </w:p>
    <w:p w14:paraId="139B18A6" w14:textId="77777777" w:rsidR="00BC3850" w:rsidRPr="00B12D2F" w:rsidRDefault="00BC3850" w:rsidP="00BC3850">
      <w:pPr>
        <w:numPr>
          <w:ilvl w:val="0"/>
          <w:numId w:val="5"/>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A few specific legislative fixes include:</w:t>
      </w:r>
    </w:p>
    <w:p w14:paraId="4648A507" w14:textId="77777777" w:rsidR="00BC3850" w:rsidRPr="00B12D2F" w:rsidRDefault="00BC3850" w:rsidP="00BC3850">
      <w:pPr>
        <w:pStyle w:val="ListParagraph"/>
        <w:numPr>
          <w:ilvl w:val="0"/>
          <w:numId w:val="31"/>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 xml:space="preserve">H.R. 4167, the Expanding Access to Lending Options Act (Rep. Fitzgerald) – would allow the NCUA to increase federal credit union loan maturity caps from current 15-year limit to 20, or more if deemed appropriate. </w:t>
      </w:r>
    </w:p>
    <w:p w14:paraId="75C314EA" w14:textId="513CDF7C" w:rsidR="002B09FC" w:rsidRPr="00B12D2F" w:rsidRDefault="00BC3850" w:rsidP="002B09FC">
      <w:pPr>
        <w:pStyle w:val="ListParagraph"/>
        <w:numPr>
          <w:ilvl w:val="0"/>
          <w:numId w:val="31"/>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H.R.1799, the Financial Reporting Threshold Modernization Act (Rep. Loudermilk) – would raise the Currency Transaction Report (CTR) threshold from $10,000 to $30,000.</w:t>
      </w:r>
    </w:p>
    <w:p w14:paraId="28AA5157" w14:textId="0D87B4F1" w:rsidR="00AD285F" w:rsidRPr="00B12D2F" w:rsidRDefault="00BC3850" w:rsidP="00AD285F">
      <w:pPr>
        <w:numPr>
          <w:ilvl w:val="0"/>
          <w:numId w:val="3"/>
        </w:numPr>
        <w:spacing w:after="120" w:line="240" w:lineRule="auto"/>
        <w:rPr>
          <w:rFonts w:ascii="Arial" w:eastAsia="Arial" w:hAnsi="Arial" w:cs="Arial"/>
          <w:b/>
          <w:bCs/>
          <w:kern w:val="2"/>
          <w:szCs w:val="24"/>
          <w14:ligatures w14:val="standardContextual"/>
        </w:rPr>
      </w:pPr>
      <w:r w:rsidRPr="00B12D2F">
        <w:rPr>
          <w:rFonts w:ascii="Arial" w:eastAsia="Arial" w:hAnsi="Arial" w:cs="Arial"/>
          <w:b/>
          <w:bCs/>
          <w:kern w:val="2"/>
          <w:szCs w:val="24"/>
          <w14:ligatures w14:val="standardContextual"/>
        </w:rPr>
        <w:t>Liquidity and Interest Rate Environment</w:t>
      </w:r>
      <w:r w:rsidR="00AD285F" w:rsidRPr="00B12D2F">
        <w:rPr>
          <w:rFonts w:ascii="Arial" w:eastAsia="Arial" w:hAnsi="Arial" w:cs="Arial"/>
          <w:b/>
          <w:bCs/>
          <w:kern w:val="2"/>
          <w:szCs w:val="24"/>
          <w14:ligatures w14:val="standardContextual"/>
        </w:rPr>
        <w:t xml:space="preserve"> </w:t>
      </w:r>
    </w:p>
    <w:p w14:paraId="1C673924" w14:textId="79EF2541" w:rsidR="00BC3850" w:rsidRPr="00B12D2F" w:rsidRDefault="00BC3850" w:rsidP="00BC3850">
      <w:pPr>
        <w:numPr>
          <w:ilvl w:val="0"/>
          <w:numId w:val="8"/>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Rising rates and tighter margins have created liquidity stress.</w:t>
      </w:r>
    </w:p>
    <w:p w14:paraId="3F07E5AE" w14:textId="77777777" w:rsidR="00BC3850" w:rsidRPr="00B12D2F" w:rsidRDefault="00BC3850" w:rsidP="00BC3850">
      <w:pPr>
        <w:numPr>
          <w:ilvl w:val="0"/>
          <w:numId w:val="8"/>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Credit unions are generally well-capitalized, but unexpected liquidity stress can happen.</w:t>
      </w:r>
    </w:p>
    <w:p w14:paraId="2D9C2EB6" w14:textId="77777777" w:rsidR="00BC3850" w:rsidRPr="00B12D2F" w:rsidRDefault="00BC3850" w:rsidP="00BC3850">
      <w:pPr>
        <w:pStyle w:val="ListParagraph"/>
        <w:numPr>
          <w:ilvl w:val="0"/>
          <w:numId w:val="32"/>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S. 2545 – the NCUA Central Liquidity Facility Enhancements Act (Sens. Padilla and Cramer) - would modernize and expand the CLF’s ability to support credit unions during financial stress.</w:t>
      </w:r>
    </w:p>
    <w:p w14:paraId="6D39F828" w14:textId="206CFA5D" w:rsidR="00BC3850" w:rsidRDefault="00BC3850" w:rsidP="00BC3850">
      <w:pPr>
        <w:pStyle w:val="ListParagraph"/>
        <w:numPr>
          <w:ilvl w:val="0"/>
          <w:numId w:val="32"/>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 xml:space="preserve">This bill was recently introduced in the Senate in late </w:t>
      </w:r>
      <w:r w:rsidR="002B09FC" w:rsidRPr="00B12D2F">
        <w:rPr>
          <w:rFonts w:ascii="Arial" w:eastAsia="Arial" w:hAnsi="Arial" w:cs="Arial"/>
          <w:kern w:val="2"/>
          <w:sz w:val="20"/>
          <w14:ligatures w14:val="standardContextual"/>
        </w:rPr>
        <w:t>July,</w:t>
      </w:r>
      <w:r w:rsidRPr="00B12D2F">
        <w:rPr>
          <w:rFonts w:ascii="Arial" w:eastAsia="Arial" w:hAnsi="Arial" w:cs="Arial"/>
          <w:kern w:val="2"/>
          <w:sz w:val="20"/>
          <w14:ligatures w14:val="standardContextual"/>
        </w:rPr>
        <w:t xml:space="preserve"> and we expect to see its companion introduced in the House soon. </w:t>
      </w:r>
    </w:p>
    <w:p w14:paraId="3E38B6A6" w14:textId="77777777" w:rsidR="00B12D2F" w:rsidRDefault="00B12D2F" w:rsidP="00B12D2F">
      <w:pPr>
        <w:spacing w:after="120" w:line="240" w:lineRule="auto"/>
        <w:rPr>
          <w:rFonts w:ascii="Arial" w:eastAsia="Arial" w:hAnsi="Arial" w:cs="Arial"/>
          <w:kern w:val="2"/>
          <w:sz w:val="20"/>
          <w14:ligatures w14:val="standardContextual"/>
        </w:rPr>
      </w:pPr>
    </w:p>
    <w:p w14:paraId="1A4326E8" w14:textId="77777777" w:rsidR="00B12D2F" w:rsidRPr="00B12D2F" w:rsidRDefault="00B12D2F" w:rsidP="00B12D2F">
      <w:pPr>
        <w:spacing w:after="120" w:line="240" w:lineRule="auto"/>
        <w:rPr>
          <w:rFonts w:ascii="Arial" w:eastAsia="Arial" w:hAnsi="Arial" w:cs="Arial"/>
          <w:kern w:val="2"/>
          <w:sz w:val="20"/>
          <w14:ligatures w14:val="standardContextual"/>
        </w:rPr>
      </w:pPr>
    </w:p>
    <w:p w14:paraId="74741A7D" w14:textId="72FC22E4" w:rsidR="00AD285F" w:rsidRPr="00B12D2F" w:rsidRDefault="00BC3850" w:rsidP="00AD285F">
      <w:pPr>
        <w:numPr>
          <w:ilvl w:val="0"/>
          <w:numId w:val="3"/>
        </w:numPr>
        <w:spacing w:after="120" w:line="240" w:lineRule="auto"/>
        <w:rPr>
          <w:rFonts w:ascii="Arial" w:eastAsia="Arial" w:hAnsi="Arial" w:cs="Arial"/>
          <w:b/>
          <w:bCs/>
          <w:kern w:val="2"/>
          <w:szCs w:val="24"/>
          <w14:ligatures w14:val="standardContextual"/>
        </w:rPr>
      </w:pPr>
      <w:r w:rsidRPr="00B12D2F">
        <w:rPr>
          <w:rFonts w:ascii="Arial" w:eastAsia="Arial" w:hAnsi="Arial" w:cs="Arial"/>
          <w:b/>
          <w:bCs/>
          <w:kern w:val="2"/>
          <w:szCs w:val="24"/>
          <w14:ligatures w14:val="standardContextual"/>
        </w:rPr>
        <w:lastRenderedPageBreak/>
        <w:t xml:space="preserve">Technology and Cybersecurity Fraud </w:t>
      </w:r>
    </w:p>
    <w:p w14:paraId="723329AC" w14:textId="3005717E" w:rsidR="00BC3850" w:rsidRPr="00B12D2F" w:rsidRDefault="00BC3850" w:rsidP="00BC3850">
      <w:pPr>
        <w:numPr>
          <w:ilvl w:val="0"/>
          <w:numId w:val="9"/>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Fraud losses and cyber threats are escalating, straining resources.</w:t>
      </w:r>
    </w:p>
    <w:p w14:paraId="2FD2A04D" w14:textId="77777777" w:rsidR="00BC3850" w:rsidRPr="00B12D2F" w:rsidRDefault="00BC3850" w:rsidP="00BC3850">
      <w:pPr>
        <w:numPr>
          <w:ilvl w:val="0"/>
          <w:numId w:val="9"/>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Credit unions need support for modernized cybersecurity standards and parity with banks in data protection frameworks.</w:t>
      </w:r>
    </w:p>
    <w:p w14:paraId="270803E6" w14:textId="7C9997AD" w:rsidR="00AD285F" w:rsidRPr="00B12D2F" w:rsidRDefault="00D32675" w:rsidP="00BC3850">
      <w:pPr>
        <w:numPr>
          <w:ilvl w:val="0"/>
          <w:numId w:val="12"/>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S. 2019</w:t>
      </w:r>
      <w:r w:rsidR="00906976" w:rsidRPr="00B12D2F">
        <w:rPr>
          <w:rFonts w:ascii="Arial" w:eastAsia="Arial" w:hAnsi="Arial" w:cs="Arial"/>
          <w:kern w:val="2"/>
          <w:sz w:val="20"/>
          <w14:ligatures w14:val="standardContextual"/>
        </w:rPr>
        <w:t xml:space="preserve">/H.R. 4936 – (TRAPS) Task Force for Recognizing and Averting Payment Scams </w:t>
      </w:r>
      <w:r w:rsidR="00BC3850" w:rsidRPr="00B12D2F">
        <w:rPr>
          <w:rFonts w:ascii="Arial" w:eastAsia="Arial" w:hAnsi="Arial" w:cs="Arial"/>
          <w:kern w:val="2"/>
          <w:sz w:val="20"/>
          <w14:ligatures w14:val="standardContextual"/>
        </w:rPr>
        <w:t>Act</w:t>
      </w:r>
      <w:r w:rsidR="00906976" w:rsidRPr="00B12D2F">
        <w:rPr>
          <w:rFonts w:ascii="Arial" w:eastAsia="Arial" w:hAnsi="Arial" w:cs="Arial"/>
          <w:kern w:val="2"/>
          <w:sz w:val="20"/>
          <w14:ligatures w14:val="standardContextual"/>
        </w:rPr>
        <w:t xml:space="preserve"> (Sen. Cramer/Rep. Nunn)</w:t>
      </w:r>
      <w:r w:rsidR="00BC3850" w:rsidRPr="00B12D2F">
        <w:rPr>
          <w:rFonts w:ascii="Arial" w:eastAsia="Arial" w:hAnsi="Arial" w:cs="Arial"/>
          <w:kern w:val="2"/>
          <w:sz w:val="20"/>
          <w14:ligatures w14:val="standardContextual"/>
        </w:rPr>
        <w:t xml:space="preserve"> </w:t>
      </w:r>
      <w:r w:rsidR="00B37090" w:rsidRPr="00B12D2F">
        <w:rPr>
          <w:rFonts w:ascii="Arial" w:eastAsia="Arial" w:hAnsi="Arial" w:cs="Arial"/>
          <w:kern w:val="2"/>
          <w:sz w:val="20"/>
          <w14:ligatures w14:val="standardContextual"/>
        </w:rPr>
        <w:t>–</w:t>
      </w:r>
      <w:r w:rsidR="00BC3850" w:rsidRPr="00B12D2F">
        <w:rPr>
          <w:rFonts w:ascii="Arial" w:eastAsia="Arial" w:hAnsi="Arial" w:cs="Arial"/>
          <w:kern w:val="2"/>
          <w:sz w:val="20"/>
          <w14:ligatures w14:val="standardContextual"/>
        </w:rPr>
        <w:t xml:space="preserve"> </w:t>
      </w:r>
      <w:r w:rsidR="00906976" w:rsidRPr="00B12D2F">
        <w:rPr>
          <w:rFonts w:ascii="Arial" w:eastAsia="Arial" w:hAnsi="Arial" w:cs="Arial"/>
          <w:kern w:val="2"/>
          <w:sz w:val="20"/>
          <w14:ligatures w14:val="standardContextual"/>
        </w:rPr>
        <w:t>would</w:t>
      </w:r>
      <w:r w:rsidR="00B37090" w:rsidRPr="00B12D2F">
        <w:rPr>
          <w:rFonts w:ascii="Arial" w:eastAsia="Arial" w:hAnsi="Arial" w:cs="Arial"/>
          <w:kern w:val="2"/>
          <w:sz w:val="20"/>
          <w14:ligatures w14:val="standardContextual"/>
        </w:rPr>
        <w:t xml:space="preserve"> create a federal task force that brings together regulators, banks, and credit unions to combat payment scams through research, prevention strategies, public education, and coordinated enforcement, helping credit unions better protect their members from fraud.</w:t>
      </w:r>
    </w:p>
    <w:p w14:paraId="6603E110" w14:textId="73B1B12E" w:rsidR="00BC3850" w:rsidRPr="00B12D2F" w:rsidRDefault="00A64D21" w:rsidP="00BC3850">
      <w:pPr>
        <w:numPr>
          <w:ilvl w:val="0"/>
          <w:numId w:val="3"/>
        </w:numPr>
        <w:spacing w:after="120" w:line="240" w:lineRule="auto"/>
        <w:rPr>
          <w:rFonts w:ascii="Arial" w:eastAsia="Arial" w:hAnsi="Arial" w:cs="Arial"/>
          <w:b/>
          <w:bCs/>
          <w:kern w:val="2"/>
          <w:szCs w:val="24"/>
          <w14:ligatures w14:val="standardContextual"/>
        </w:rPr>
      </w:pPr>
      <w:r w:rsidRPr="00B12D2F">
        <w:rPr>
          <w:rFonts w:ascii="Arial" w:eastAsia="Arial" w:hAnsi="Arial" w:cs="Arial"/>
          <w:b/>
          <w:bCs/>
          <w:kern w:val="2"/>
          <w:szCs w:val="24"/>
          <w14:ligatures w14:val="standardContextual"/>
        </w:rPr>
        <w:t>Continuing Robust Funding for CDFIs</w:t>
      </w:r>
    </w:p>
    <w:p w14:paraId="324E90C1" w14:textId="79A843A2" w:rsidR="00A64D21" w:rsidRPr="00B12D2F" w:rsidRDefault="00A64D21" w:rsidP="00A64D21">
      <w:pPr>
        <w:numPr>
          <w:ilvl w:val="0"/>
          <w:numId w:val="33"/>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The CDFI program provides financial services to underserved communities, including low-income, rural, and minority populations including loans, technical assistance, and grants to community-focused financial institutions.</w:t>
      </w:r>
    </w:p>
    <w:p w14:paraId="0B14198D" w14:textId="77777777" w:rsidR="00A64D21" w:rsidRPr="00B12D2F" w:rsidRDefault="00A64D21" w:rsidP="00A64D21">
      <w:pPr>
        <w:numPr>
          <w:ilvl w:val="0"/>
          <w:numId w:val="33"/>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The demand for CDFI support continues to grow, especially in rural and economically distressed areas. Full funding allows CDFIs to provide more loans and grants, expanding economic opportunity.</w:t>
      </w:r>
    </w:p>
    <w:p w14:paraId="1D24FD1B" w14:textId="77777777" w:rsidR="00A64D21" w:rsidRPr="00B12D2F" w:rsidRDefault="00A64D21" w:rsidP="00A64D21">
      <w:pPr>
        <w:numPr>
          <w:ilvl w:val="0"/>
          <w:numId w:val="33"/>
        </w:numPr>
        <w:spacing w:after="120" w:line="240" w:lineRule="auto"/>
        <w:rPr>
          <w:rFonts w:ascii="Arial" w:eastAsia="Arial" w:hAnsi="Arial" w:cs="Arial"/>
          <w:kern w:val="2"/>
          <w:sz w:val="20"/>
          <w14:ligatures w14:val="standardContextual"/>
        </w:rPr>
      </w:pPr>
      <w:r w:rsidRPr="00B12D2F">
        <w:rPr>
          <w:rFonts w:ascii="Arial" w:eastAsia="Arial" w:hAnsi="Arial" w:cs="Arial"/>
          <w:kern w:val="2"/>
          <w:sz w:val="20"/>
          <w14:ligatures w14:val="standardContextual"/>
        </w:rPr>
        <w:t>For every $1 provided by the CDFI Fund, CDFIs leverage at least $8 in private sector investments.</w:t>
      </w:r>
    </w:p>
    <w:p w14:paraId="27B7CCB1" w14:textId="77777777" w:rsidR="00BC3850" w:rsidRDefault="00BC3850" w:rsidP="00BC3850">
      <w:pPr>
        <w:spacing w:after="120" w:line="240" w:lineRule="auto"/>
        <w:rPr>
          <w:rFonts w:ascii="Arial" w:eastAsia="Arial" w:hAnsi="Arial" w:cs="Arial"/>
          <w:kern w:val="2"/>
          <w:sz w:val="18"/>
          <w:szCs w:val="20"/>
          <w14:ligatures w14:val="standardContextual"/>
        </w:rPr>
      </w:pPr>
    </w:p>
    <w:sectPr w:rsidR="00BC38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D6A1" w14:textId="77777777" w:rsidR="00C0139B" w:rsidRDefault="00C0139B" w:rsidP="00C0139B">
      <w:pPr>
        <w:spacing w:after="0" w:line="240" w:lineRule="auto"/>
      </w:pPr>
      <w:r>
        <w:separator/>
      </w:r>
    </w:p>
  </w:endnote>
  <w:endnote w:type="continuationSeparator" w:id="0">
    <w:p w14:paraId="39E15F3E" w14:textId="77777777" w:rsidR="00C0139B" w:rsidRDefault="00C0139B" w:rsidP="00C0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2A9F" w14:textId="77777777" w:rsidR="005E266C" w:rsidRPr="005E266C" w:rsidRDefault="005E266C">
    <w:pPr>
      <w:pStyle w:val="Footer"/>
      <w:jc w:val="center"/>
      <w:rPr>
        <w:color w:val="142B52" w:themeColor="text1"/>
      </w:rPr>
    </w:pPr>
    <w:r w:rsidRPr="005E266C">
      <w:rPr>
        <w:color w:val="142B52" w:themeColor="text1"/>
      </w:rPr>
      <w:t xml:space="preserve">Page </w:t>
    </w:r>
    <w:r w:rsidRPr="005E266C">
      <w:rPr>
        <w:color w:val="142B52" w:themeColor="text1"/>
      </w:rPr>
      <w:fldChar w:fldCharType="begin"/>
    </w:r>
    <w:r w:rsidRPr="005E266C">
      <w:rPr>
        <w:color w:val="142B52" w:themeColor="text1"/>
      </w:rPr>
      <w:instrText xml:space="preserve"> PAGE  \* Arabic  \* MERGEFORMAT </w:instrText>
    </w:r>
    <w:r w:rsidRPr="005E266C">
      <w:rPr>
        <w:color w:val="142B52" w:themeColor="text1"/>
      </w:rPr>
      <w:fldChar w:fldCharType="separate"/>
    </w:r>
    <w:r w:rsidRPr="005E266C">
      <w:rPr>
        <w:noProof/>
        <w:color w:val="142B52" w:themeColor="text1"/>
      </w:rPr>
      <w:t>2</w:t>
    </w:r>
    <w:r w:rsidRPr="005E266C">
      <w:rPr>
        <w:color w:val="142B52" w:themeColor="text1"/>
      </w:rPr>
      <w:fldChar w:fldCharType="end"/>
    </w:r>
    <w:r w:rsidRPr="005E266C">
      <w:rPr>
        <w:color w:val="142B52" w:themeColor="text1"/>
      </w:rPr>
      <w:t xml:space="preserve"> of </w:t>
    </w:r>
    <w:r w:rsidRPr="005E266C">
      <w:rPr>
        <w:color w:val="142B52" w:themeColor="text1"/>
      </w:rPr>
      <w:fldChar w:fldCharType="begin"/>
    </w:r>
    <w:r w:rsidRPr="005E266C">
      <w:rPr>
        <w:color w:val="142B52" w:themeColor="text1"/>
      </w:rPr>
      <w:instrText xml:space="preserve"> NUMPAGES  \* Arabic  \* MERGEFORMAT </w:instrText>
    </w:r>
    <w:r w:rsidRPr="005E266C">
      <w:rPr>
        <w:color w:val="142B52" w:themeColor="text1"/>
      </w:rPr>
      <w:fldChar w:fldCharType="separate"/>
    </w:r>
    <w:r w:rsidRPr="005E266C">
      <w:rPr>
        <w:noProof/>
        <w:color w:val="142B52" w:themeColor="text1"/>
      </w:rPr>
      <w:t>2</w:t>
    </w:r>
    <w:r w:rsidRPr="005E266C">
      <w:rPr>
        <w:color w:val="142B52" w:themeColor="text1"/>
      </w:rPr>
      <w:fldChar w:fldCharType="end"/>
    </w:r>
  </w:p>
  <w:p w14:paraId="686E6AD8" w14:textId="77777777" w:rsidR="005E266C" w:rsidRDefault="005E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D509" w14:textId="77777777" w:rsidR="00C0139B" w:rsidRDefault="00C0139B" w:rsidP="00C0139B">
      <w:pPr>
        <w:spacing w:after="0" w:line="240" w:lineRule="auto"/>
      </w:pPr>
      <w:r>
        <w:separator/>
      </w:r>
    </w:p>
  </w:footnote>
  <w:footnote w:type="continuationSeparator" w:id="0">
    <w:p w14:paraId="38B195E6" w14:textId="77777777" w:rsidR="00C0139B" w:rsidRDefault="00C0139B" w:rsidP="00C0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2601" w14:textId="6CA392D5" w:rsidR="00C0139B" w:rsidRDefault="00C0139B" w:rsidP="005E266C">
    <w:pPr>
      <w:pStyle w:val="Header"/>
      <w:spacing w:after="240"/>
    </w:pPr>
    <w:r>
      <w:rPr>
        <w:noProof/>
      </w:rPr>
      <mc:AlternateContent>
        <mc:Choice Requires="wpg">
          <w:drawing>
            <wp:anchor distT="0" distB="0" distL="114300" distR="114300" simplePos="0" relativeHeight="251659264" behindDoc="0" locked="0" layoutInCell="1" allowOverlap="1" wp14:anchorId="77B9CB59" wp14:editId="00E8845B">
              <wp:simplePos x="0" y="0"/>
              <wp:positionH relativeFrom="margin">
                <wp:align>left</wp:align>
              </wp:positionH>
              <wp:positionV relativeFrom="paragraph">
                <wp:posOffset>-95250</wp:posOffset>
              </wp:positionV>
              <wp:extent cx="6587490" cy="1209040"/>
              <wp:effectExtent l="0" t="0" r="3810" b="29210"/>
              <wp:wrapTopAndBottom/>
              <wp:docPr id="505060532" name="Group 3"/>
              <wp:cNvGraphicFramePr/>
              <a:graphic xmlns:a="http://schemas.openxmlformats.org/drawingml/2006/main">
                <a:graphicData uri="http://schemas.microsoft.com/office/word/2010/wordprocessingGroup">
                  <wpg:wgp>
                    <wpg:cNvGrpSpPr/>
                    <wpg:grpSpPr>
                      <a:xfrm>
                        <a:off x="0" y="0"/>
                        <a:ext cx="6587490" cy="1209040"/>
                        <a:chOff x="-428626" y="-95289"/>
                        <a:chExt cx="6587503" cy="1210171"/>
                      </a:xfrm>
                    </wpg:grpSpPr>
                    <wps:wsp>
                      <wps:cNvPr id="1619505663" name="Straight Connector 1"/>
                      <wps:cNvCnPr/>
                      <wps:spPr>
                        <a:xfrm>
                          <a:off x="1622450" y="0"/>
                          <a:ext cx="0" cy="111488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428626" y="-95289"/>
                          <a:ext cx="1619887" cy="1181586"/>
                        </a:xfrm>
                        <a:prstGeom prst="rect">
                          <a:avLst/>
                        </a:prstGeom>
                        <a:solidFill>
                          <a:srgbClr val="FFFFFF"/>
                        </a:solidFill>
                        <a:ln w="9525">
                          <a:noFill/>
                          <a:miter lim="800000"/>
                          <a:headEnd/>
                          <a:tailEnd/>
                        </a:ln>
                      </wps:spPr>
                      <wps:txbx>
                        <w:txbxContent>
                          <w:p w14:paraId="443D9C44" w14:textId="337B9985" w:rsidR="00C0139B" w:rsidRDefault="00917EF2" w:rsidP="00C0139B">
                            <w:pPr>
                              <w:jc w:val="center"/>
                            </w:pPr>
                            <w:r>
                              <w:rPr>
                                <w:noProof/>
                              </w:rPr>
                              <w:drawing>
                                <wp:inline distT="0" distB="0" distL="0" distR="0" wp14:anchorId="27BD5344" wp14:editId="4ECA0F11">
                                  <wp:extent cx="1573530" cy="7574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3413" cy="762175"/>
                                          </a:xfrm>
                                          <a:prstGeom prst="rect">
                                            <a:avLst/>
                                          </a:prstGeom>
                                          <a:noFill/>
                                          <a:ln>
                                            <a:noFill/>
                                          </a:ln>
                                        </pic:spPr>
                                      </pic:pic>
                                    </a:graphicData>
                                  </a:graphic>
                                </wp:inline>
                              </w:drawing>
                            </w:r>
                          </w:p>
                        </w:txbxContent>
                      </wps:txbx>
                      <wps:bodyPr rot="0" vert="horz" wrap="square" lIns="0" tIns="91440" rIns="0" bIns="0" anchor="ctr" anchorCtr="0">
                        <a:noAutofit/>
                      </wps:bodyPr>
                    </wps:wsp>
                    <wps:wsp>
                      <wps:cNvPr id="1466828834" name="Text Box 2"/>
                      <wps:cNvSpPr txBox="1">
                        <a:spLocks noChangeArrowheads="1"/>
                      </wps:cNvSpPr>
                      <wps:spPr bwMode="auto">
                        <a:xfrm>
                          <a:off x="1952638" y="118752"/>
                          <a:ext cx="4206239" cy="876718"/>
                        </a:xfrm>
                        <a:prstGeom prst="rect">
                          <a:avLst/>
                        </a:prstGeom>
                        <a:noFill/>
                        <a:ln w="9525">
                          <a:noFill/>
                          <a:miter lim="800000"/>
                          <a:headEnd/>
                          <a:tailEnd/>
                        </a:ln>
                      </wps:spPr>
                      <wps:txbx>
                        <w:txbxContent>
                          <w:p w14:paraId="4CF82425" w14:textId="77777777" w:rsidR="005147C5" w:rsidRPr="005E266C" w:rsidRDefault="00C0139B" w:rsidP="005E266C">
                            <w:pPr>
                              <w:pStyle w:val="Title"/>
                              <w:rPr>
                                <w:rFonts w:eastAsia="Arial"/>
                                <w:color w:val="142B52" w:themeColor="text1"/>
                              </w:rPr>
                            </w:pPr>
                            <w:r w:rsidRPr="005E266C">
                              <w:rPr>
                                <w:rFonts w:eastAsia="Arial"/>
                                <w:color w:val="142B52" w:themeColor="text1"/>
                              </w:rPr>
                              <w:t>202</w:t>
                            </w:r>
                            <w:r w:rsidR="00917EF2" w:rsidRPr="005E266C">
                              <w:rPr>
                                <w:rFonts w:eastAsia="Arial"/>
                                <w:color w:val="142B52" w:themeColor="text1"/>
                              </w:rPr>
                              <w:t>5</w:t>
                            </w:r>
                            <w:r w:rsidR="005147C5" w:rsidRPr="005E266C">
                              <w:rPr>
                                <w:rFonts w:eastAsia="Arial"/>
                                <w:color w:val="142B52" w:themeColor="text1"/>
                              </w:rPr>
                              <w:t xml:space="preserve"> Hike the Hill</w:t>
                            </w:r>
                          </w:p>
                          <w:p w14:paraId="054D2382" w14:textId="668F7C47" w:rsidR="00C0139B" w:rsidRPr="005E266C" w:rsidRDefault="00C0139B" w:rsidP="005E266C">
                            <w:pPr>
                              <w:pStyle w:val="Title"/>
                              <w:rPr>
                                <w:color w:val="142B52" w:themeColor="text1"/>
                              </w:rPr>
                            </w:pPr>
                            <w:r w:rsidRPr="005E266C">
                              <w:rPr>
                                <w:rFonts w:eastAsia="Arial"/>
                                <w:color w:val="142B52" w:themeColor="text1"/>
                              </w:rPr>
                              <w:t>Legislative Priorities</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7B9CB59" id="Group 3" o:spid="_x0000_s1026" style="position:absolute;margin-left:0;margin-top:-7.5pt;width:518.7pt;height:95.2pt;z-index:251659264;mso-position-horizontal:left;mso-position-horizontal-relative:margin;mso-width-relative:margin;mso-height-relative:margin" coordorigin="-4286,-952" coordsize="65875,1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">
              <v:line id="Straight Connector 1" o:spid="_x0000_s1027" style="position:absolute;visibility:visible;mso-wrap-style:square" from="16224,0" to="16224,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" strokecolor="#007195 [3204]" strokeweight="1pt">
                <v:stroke joinstyle="miter"/>
              </v:line>
              <v:shapetype id="_x0000_t202" coordsize="21600,21600" o:spt="202" path="m,l,21600r21600,l21600,xe">
                <v:stroke joinstyle="miter"/>
                <v:path gradientshapeok="t" o:connecttype="rect"/>
              </v:shapetype>
              <v:shape id="Text Box 2" o:spid="_x0000_s1028" type="#_x0000_t202" style="position:absolute;left:-4286;top:-952;width:16198;height:1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" stroked="f">
                <v:textbox inset="0,7.2pt,0,0">
                  <w:txbxContent>
                    <w:p w14:paraId="443D9C44" w14:textId="337B9985" w:rsidR="00C0139B" w:rsidRDefault="00917EF2" w:rsidP="00C0139B">
                      <w:pPr>
                        <w:jc w:val="center"/>
                      </w:pPr>
                      <w:r>
                        <w:rPr>
                          <w:noProof/>
                        </w:rPr>
                        <w:drawing>
                          <wp:inline distT="0" distB="0" distL="0" distR="0" wp14:anchorId="27BD5344" wp14:editId="4ECA0F11">
                            <wp:extent cx="1573530" cy="7574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3413" cy="762175"/>
                                    </a:xfrm>
                                    <a:prstGeom prst="rect">
                                      <a:avLst/>
                                    </a:prstGeom>
                                    <a:noFill/>
                                    <a:ln>
                                      <a:noFill/>
                                    </a:ln>
                                  </pic:spPr>
                                </pic:pic>
                              </a:graphicData>
                            </a:graphic>
                          </wp:inline>
                        </w:drawing>
                      </w:r>
                    </w:p>
                  </w:txbxContent>
                </v:textbox>
              </v:shape>
              <v:shape id="Text Box 2" o:spid="_x0000_s1029" type="#_x0000_t202" style="position:absolute;left:19526;top:1187;width:42062;height:8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" filled="f" stroked="f">
                <v:textbox inset="0,0,0,0">
                  <w:txbxContent>
                    <w:p w14:paraId="4CF82425" w14:textId="77777777" w:rsidR="005147C5" w:rsidRPr="005E266C" w:rsidRDefault="00C0139B" w:rsidP="005E266C">
                      <w:pPr>
                        <w:pStyle w:val="Title"/>
                        <w:rPr>
                          <w:rFonts w:eastAsia="Arial"/>
                          <w:color w:val="142B52" w:themeColor="text1"/>
                        </w:rPr>
                      </w:pPr>
                      <w:r w:rsidRPr="005E266C">
                        <w:rPr>
                          <w:rFonts w:eastAsia="Arial"/>
                          <w:color w:val="142B52" w:themeColor="text1"/>
                        </w:rPr>
                        <w:t>202</w:t>
                      </w:r>
                      <w:r w:rsidR="00917EF2" w:rsidRPr="005E266C">
                        <w:rPr>
                          <w:rFonts w:eastAsia="Arial"/>
                          <w:color w:val="142B52" w:themeColor="text1"/>
                        </w:rPr>
                        <w:t>5</w:t>
                      </w:r>
                      <w:r w:rsidR="005147C5" w:rsidRPr="005E266C">
                        <w:rPr>
                          <w:rFonts w:eastAsia="Arial"/>
                          <w:color w:val="142B52" w:themeColor="text1"/>
                        </w:rPr>
                        <w:t xml:space="preserve"> Hike the Hill</w:t>
                      </w:r>
                    </w:p>
                    <w:p w14:paraId="054D2382" w14:textId="668F7C47" w:rsidR="00C0139B" w:rsidRPr="005E266C" w:rsidRDefault="00C0139B" w:rsidP="005E266C">
                      <w:pPr>
                        <w:pStyle w:val="Title"/>
                        <w:rPr>
                          <w:color w:val="142B52" w:themeColor="text1"/>
                        </w:rPr>
                      </w:pPr>
                      <w:r w:rsidRPr="005E266C">
                        <w:rPr>
                          <w:rFonts w:eastAsia="Arial"/>
                          <w:color w:val="142B52" w:themeColor="text1"/>
                        </w:rPr>
                        <w:t>Legislative Priorities</w:t>
                      </w:r>
                    </w:p>
                  </w:txbxContent>
                </v:textbox>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E7F"/>
    <w:multiLevelType w:val="hybridMultilevel"/>
    <w:tmpl w:val="0C184B82"/>
    <w:lvl w:ilvl="0" w:tplc="B114EE28">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C3875"/>
    <w:multiLevelType w:val="hybridMultilevel"/>
    <w:tmpl w:val="56988D3E"/>
    <w:lvl w:ilvl="0" w:tplc="ED5EB4CC">
      <w:start w:val="1"/>
      <w:numFmt w:val="upp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7CE0E45"/>
    <w:multiLevelType w:val="hybridMultilevel"/>
    <w:tmpl w:val="BC24261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1705D"/>
    <w:multiLevelType w:val="hybridMultilevel"/>
    <w:tmpl w:val="1480EB3E"/>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A133600"/>
    <w:multiLevelType w:val="hybridMultilevel"/>
    <w:tmpl w:val="062C2DF8"/>
    <w:lvl w:ilvl="0" w:tplc="DFFA23C8">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2404A0"/>
    <w:multiLevelType w:val="hybridMultilevel"/>
    <w:tmpl w:val="AD646ECE"/>
    <w:lvl w:ilvl="0" w:tplc="3658588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9145C5"/>
    <w:multiLevelType w:val="hybridMultilevel"/>
    <w:tmpl w:val="5462B096"/>
    <w:lvl w:ilvl="0" w:tplc="D1403550">
      <w:start w:val="1"/>
      <w:numFmt w:val="upperRoman"/>
      <w:lvlText w:val="%1."/>
      <w:lvlJc w:val="righ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702E"/>
    <w:multiLevelType w:val="hybridMultilevel"/>
    <w:tmpl w:val="E6805AE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0EAB66EA"/>
    <w:multiLevelType w:val="hybridMultilevel"/>
    <w:tmpl w:val="367231E6"/>
    <w:lvl w:ilvl="0" w:tplc="9B163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C0FD3"/>
    <w:multiLevelType w:val="hybridMultilevel"/>
    <w:tmpl w:val="0A62BFA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8453AF"/>
    <w:multiLevelType w:val="hybridMultilevel"/>
    <w:tmpl w:val="5462B096"/>
    <w:lvl w:ilvl="0" w:tplc="FFFFFFFF">
      <w:start w:val="1"/>
      <w:numFmt w:val="upperRoman"/>
      <w:lvlText w:val="%1."/>
      <w:lvlJc w:val="right"/>
      <w:pPr>
        <w:ind w:left="72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F3B87"/>
    <w:multiLevelType w:val="hybridMultilevel"/>
    <w:tmpl w:val="F1B685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77620F8"/>
    <w:multiLevelType w:val="hybridMultilevel"/>
    <w:tmpl w:val="DEFE7A22"/>
    <w:lvl w:ilvl="0" w:tplc="305CA998">
      <w:start w:val="1"/>
      <w:numFmt w:val="decimal"/>
      <w:lvlText w:val="%1."/>
      <w:lvlJc w:val="left"/>
      <w:pPr>
        <w:ind w:left="2160" w:hanging="360"/>
      </w:pPr>
      <w:rPr>
        <w:b w:val="0"/>
        <w:bCs w:val="0"/>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822D31"/>
    <w:multiLevelType w:val="hybridMultilevel"/>
    <w:tmpl w:val="BC242612"/>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60E7FCB"/>
    <w:multiLevelType w:val="hybridMultilevel"/>
    <w:tmpl w:val="BC242612"/>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8E85773"/>
    <w:multiLevelType w:val="hybridMultilevel"/>
    <w:tmpl w:val="9A461406"/>
    <w:lvl w:ilvl="0" w:tplc="9306E0D6">
      <w:start w:val="1"/>
      <w:numFmt w:val="upperLetter"/>
      <w:lvlText w:val="%1."/>
      <w:lvlJc w:val="left"/>
      <w:pPr>
        <w:ind w:left="1440" w:hanging="360"/>
      </w:pPr>
      <w:rPr>
        <w:rFonts w:hint="default"/>
        <w:b w:val="0"/>
        <w:bCs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91A50AF"/>
    <w:multiLevelType w:val="hybridMultilevel"/>
    <w:tmpl w:val="DCDA561E"/>
    <w:lvl w:ilvl="0" w:tplc="2C981CBA">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F751AF6"/>
    <w:multiLevelType w:val="hybridMultilevel"/>
    <w:tmpl w:val="8256A52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EB68F7"/>
    <w:multiLevelType w:val="hybridMultilevel"/>
    <w:tmpl w:val="56988D3E"/>
    <w:lvl w:ilvl="0" w:tplc="FFFFFFFF">
      <w:start w:val="1"/>
      <w:numFmt w:val="upp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7CB6937"/>
    <w:multiLevelType w:val="hybridMultilevel"/>
    <w:tmpl w:val="97E48594"/>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EB37EBB"/>
    <w:multiLevelType w:val="hybridMultilevel"/>
    <w:tmpl w:val="7BB07898"/>
    <w:lvl w:ilvl="0" w:tplc="1BA843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95864"/>
    <w:multiLevelType w:val="hybridMultilevel"/>
    <w:tmpl w:val="D5C8153C"/>
    <w:lvl w:ilvl="0" w:tplc="FFFFFFFF">
      <w:start w:val="1"/>
      <w:numFmt w:val="upp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0D66285"/>
    <w:multiLevelType w:val="hybridMultilevel"/>
    <w:tmpl w:val="86E69F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3C06F2"/>
    <w:multiLevelType w:val="hybridMultilevel"/>
    <w:tmpl w:val="628CF02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562B6A76"/>
    <w:multiLevelType w:val="hybridMultilevel"/>
    <w:tmpl w:val="D88059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1CE635A"/>
    <w:multiLevelType w:val="hybridMultilevel"/>
    <w:tmpl w:val="9DD804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233581"/>
    <w:multiLevelType w:val="hybridMultilevel"/>
    <w:tmpl w:val="39445B80"/>
    <w:lvl w:ilvl="0" w:tplc="305CA99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E0AF7"/>
    <w:multiLevelType w:val="hybridMultilevel"/>
    <w:tmpl w:val="B1545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D3262C1"/>
    <w:multiLevelType w:val="hybridMultilevel"/>
    <w:tmpl w:val="B7CA30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317E1F"/>
    <w:multiLevelType w:val="hybridMultilevel"/>
    <w:tmpl w:val="94F2912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1A336F"/>
    <w:multiLevelType w:val="hybridMultilevel"/>
    <w:tmpl w:val="A9F4A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3A543A2"/>
    <w:multiLevelType w:val="hybridMultilevel"/>
    <w:tmpl w:val="4976C1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6113210"/>
    <w:multiLevelType w:val="hybridMultilevel"/>
    <w:tmpl w:val="8256A524"/>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56183969">
    <w:abstractNumId w:val="26"/>
  </w:num>
  <w:num w:numId="2" w16cid:durableId="315493696">
    <w:abstractNumId w:val="2"/>
  </w:num>
  <w:num w:numId="3" w16cid:durableId="1389955162">
    <w:abstractNumId w:val="6"/>
  </w:num>
  <w:num w:numId="4" w16cid:durableId="1164052628">
    <w:abstractNumId w:val="17"/>
  </w:num>
  <w:num w:numId="5" w16cid:durableId="1953242990">
    <w:abstractNumId w:val="0"/>
  </w:num>
  <w:num w:numId="6" w16cid:durableId="1092093652">
    <w:abstractNumId w:val="9"/>
  </w:num>
  <w:num w:numId="7" w16cid:durableId="2053579878">
    <w:abstractNumId w:val="13"/>
  </w:num>
  <w:num w:numId="8" w16cid:durableId="534975072">
    <w:abstractNumId w:val="19"/>
  </w:num>
  <w:num w:numId="9" w16cid:durableId="342629000">
    <w:abstractNumId w:val="1"/>
  </w:num>
  <w:num w:numId="10" w16cid:durableId="1588726563">
    <w:abstractNumId w:val="7"/>
  </w:num>
  <w:num w:numId="11" w16cid:durableId="2127851701">
    <w:abstractNumId w:val="3"/>
  </w:num>
  <w:num w:numId="12" w16cid:durableId="109595012">
    <w:abstractNumId w:val="5"/>
  </w:num>
  <w:num w:numId="13" w16cid:durableId="1973827210">
    <w:abstractNumId w:val="14"/>
  </w:num>
  <w:num w:numId="14" w16cid:durableId="1005132441">
    <w:abstractNumId w:val="4"/>
  </w:num>
  <w:num w:numId="15" w16cid:durableId="1256943881">
    <w:abstractNumId w:val="16"/>
  </w:num>
  <w:num w:numId="16" w16cid:durableId="997803286">
    <w:abstractNumId w:val="21"/>
  </w:num>
  <w:num w:numId="17" w16cid:durableId="1221865163">
    <w:abstractNumId w:val="24"/>
  </w:num>
  <w:num w:numId="18" w16cid:durableId="61100630">
    <w:abstractNumId w:val="30"/>
  </w:num>
  <w:num w:numId="19" w16cid:durableId="20281201">
    <w:abstractNumId w:val="29"/>
  </w:num>
  <w:num w:numId="20" w16cid:durableId="827790105">
    <w:abstractNumId w:val="15"/>
  </w:num>
  <w:num w:numId="21" w16cid:durableId="928348403">
    <w:abstractNumId w:val="20"/>
  </w:num>
  <w:num w:numId="22" w16cid:durableId="1121536298">
    <w:abstractNumId w:val="11"/>
  </w:num>
  <w:num w:numId="23" w16cid:durableId="295452665">
    <w:abstractNumId w:val="23"/>
  </w:num>
  <w:num w:numId="24" w16cid:durableId="656227506">
    <w:abstractNumId w:val="10"/>
  </w:num>
  <w:num w:numId="25" w16cid:durableId="2142574558">
    <w:abstractNumId w:val="25"/>
  </w:num>
  <w:num w:numId="26" w16cid:durableId="1931617362">
    <w:abstractNumId w:val="31"/>
  </w:num>
  <w:num w:numId="27" w16cid:durableId="439447011">
    <w:abstractNumId w:val="28"/>
  </w:num>
  <w:num w:numId="28" w16cid:durableId="1446193969">
    <w:abstractNumId w:val="32"/>
  </w:num>
  <w:num w:numId="29" w16cid:durableId="731387849">
    <w:abstractNumId w:val="12"/>
  </w:num>
  <w:num w:numId="30" w16cid:durableId="1736858284">
    <w:abstractNumId w:val="8"/>
  </w:num>
  <w:num w:numId="31" w16cid:durableId="1928271782">
    <w:abstractNumId w:val="27"/>
  </w:num>
  <w:num w:numId="32" w16cid:durableId="1978098319">
    <w:abstractNumId w:val="22"/>
  </w:num>
  <w:num w:numId="33" w16cid:durableId="2658443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09"/>
    <w:rsid w:val="000A446F"/>
    <w:rsid w:val="000C38AC"/>
    <w:rsid w:val="001A5F5D"/>
    <w:rsid w:val="001C7381"/>
    <w:rsid w:val="002530AA"/>
    <w:rsid w:val="002A1C40"/>
    <w:rsid w:val="002B09FC"/>
    <w:rsid w:val="002E5750"/>
    <w:rsid w:val="00373575"/>
    <w:rsid w:val="0041395C"/>
    <w:rsid w:val="004E51F9"/>
    <w:rsid w:val="005147C5"/>
    <w:rsid w:val="00540C15"/>
    <w:rsid w:val="005E266C"/>
    <w:rsid w:val="005F0F81"/>
    <w:rsid w:val="00637CBB"/>
    <w:rsid w:val="00677336"/>
    <w:rsid w:val="00677D71"/>
    <w:rsid w:val="00727709"/>
    <w:rsid w:val="008C3D49"/>
    <w:rsid w:val="00906589"/>
    <w:rsid w:val="00906976"/>
    <w:rsid w:val="00917EF2"/>
    <w:rsid w:val="009E685E"/>
    <w:rsid w:val="00A64D21"/>
    <w:rsid w:val="00AD285F"/>
    <w:rsid w:val="00B12D2F"/>
    <w:rsid w:val="00B37090"/>
    <w:rsid w:val="00BC3850"/>
    <w:rsid w:val="00C0139B"/>
    <w:rsid w:val="00C43B52"/>
    <w:rsid w:val="00D32675"/>
    <w:rsid w:val="00D51541"/>
    <w:rsid w:val="00D600FA"/>
    <w:rsid w:val="00D86146"/>
    <w:rsid w:val="00DA3098"/>
    <w:rsid w:val="00DD078E"/>
    <w:rsid w:val="00DF684E"/>
    <w:rsid w:val="00EB1246"/>
    <w:rsid w:val="00E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2B324"/>
  <w15:chartTrackingRefBased/>
  <w15:docId w15:val="{4BC675CD-925A-4B9D-A386-2D7E1E36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09"/>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727709"/>
    <w:pPr>
      <w:keepNext/>
      <w:keepLines/>
      <w:spacing w:before="360" w:after="80"/>
      <w:outlineLvl w:val="0"/>
    </w:pPr>
    <w:rPr>
      <w:rFonts w:asciiTheme="majorHAnsi" w:eastAsiaTheme="majorEastAsia" w:hAnsiTheme="majorHAnsi" w:cstheme="majorBidi"/>
      <w:color w:val="00546F" w:themeColor="accent1" w:themeShade="BF"/>
      <w:sz w:val="40"/>
      <w:szCs w:val="40"/>
    </w:rPr>
  </w:style>
  <w:style w:type="paragraph" w:styleId="Heading2">
    <w:name w:val="heading 2"/>
    <w:basedOn w:val="Normal"/>
    <w:next w:val="Normal"/>
    <w:link w:val="Heading2Char"/>
    <w:uiPriority w:val="9"/>
    <w:semiHidden/>
    <w:unhideWhenUsed/>
    <w:qFormat/>
    <w:rsid w:val="00727709"/>
    <w:pPr>
      <w:keepNext/>
      <w:keepLines/>
      <w:spacing w:before="160" w:after="80"/>
      <w:outlineLvl w:val="1"/>
    </w:pPr>
    <w:rPr>
      <w:rFonts w:asciiTheme="majorHAnsi" w:eastAsiaTheme="majorEastAsia" w:hAnsiTheme="majorHAnsi" w:cstheme="majorBidi"/>
      <w:color w:val="00546F" w:themeColor="accent1" w:themeShade="BF"/>
      <w:sz w:val="32"/>
      <w:szCs w:val="32"/>
    </w:rPr>
  </w:style>
  <w:style w:type="paragraph" w:styleId="Heading3">
    <w:name w:val="heading 3"/>
    <w:basedOn w:val="Normal"/>
    <w:next w:val="Normal"/>
    <w:link w:val="Heading3Char"/>
    <w:uiPriority w:val="9"/>
    <w:semiHidden/>
    <w:unhideWhenUsed/>
    <w:qFormat/>
    <w:rsid w:val="00727709"/>
    <w:pPr>
      <w:keepNext/>
      <w:keepLines/>
      <w:spacing w:before="160" w:after="80"/>
      <w:outlineLvl w:val="2"/>
    </w:pPr>
    <w:rPr>
      <w:rFonts w:eastAsiaTheme="majorEastAsia" w:cstheme="majorBidi"/>
      <w:color w:val="00546F" w:themeColor="accent1" w:themeShade="BF"/>
      <w:sz w:val="28"/>
      <w:szCs w:val="28"/>
    </w:rPr>
  </w:style>
  <w:style w:type="paragraph" w:styleId="Heading4">
    <w:name w:val="heading 4"/>
    <w:basedOn w:val="Normal"/>
    <w:next w:val="Normal"/>
    <w:link w:val="Heading4Char"/>
    <w:uiPriority w:val="9"/>
    <w:semiHidden/>
    <w:unhideWhenUsed/>
    <w:qFormat/>
    <w:rsid w:val="00727709"/>
    <w:pPr>
      <w:keepNext/>
      <w:keepLines/>
      <w:spacing w:before="80" w:after="40"/>
      <w:outlineLvl w:val="3"/>
    </w:pPr>
    <w:rPr>
      <w:rFonts w:eastAsiaTheme="majorEastAsia" w:cstheme="majorBidi"/>
      <w:i/>
      <w:iCs/>
      <w:color w:val="00546F" w:themeColor="accent1" w:themeShade="BF"/>
    </w:rPr>
  </w:style>
  <w:style w:type="paragraph" w:styleId="Heading5">
    <w:name w:val="heading 5"/>
    <w:basedOn w:val="Normal"/>
    <w:next w:val="Normal"/>
    <w:link w:val="Heading5Char"/>
    <w:uiPriority w:val="9"/>
    <w:semiHidden/>
    <w:unhideWhenUsed/>
    <w:qFormat/>
    <w:rsid w:val="00727709"/>
    <w:pPr>
      <w:keepNext/>
      <w:keepLines/>
      <w:spacing w:before="80" w:after="40"/>
      <w:outlineLvl w:val="4"/>
    </w:pPr>
    <w:rPr>
      <w:rFonts w:eastAsiaTheme="majorEastAsia" w:cstheme="majorBidi"/>
      <w:color w:val="00546F" w:themeColor="accent1" w:themeShade="BF"/>
    </w:rPr>
  </w:style>
  <w:style w:type="paragraph" w:styleId="Heading6">
    <w:name w:val="heading 6"/>
    <w:basedOn w:val="Normal"/>
    <w:next w:val="Normal"/>
    <w:link w:val="Heading6Char"/>
    <w:uiPriority w:val="9"/>
    <w:semiHidden/>
    <w:unhideWhenUsed/>
    <w:qFormat/>
    <w:rsid w:val="00727709"/>
    <w:pPr>
      <w:keepNext/>
      <w:keepLines/>
      <w:spacing w:before="40" w:after="0"/>
      <w:outlineLvl w:val="5"/>
    </w:pPr>
    <w:rPr>
      <w:rFonts w:eastAsiaTheme="majorEastAsia" w:cstheme="majorBidi"/>
      <w:i/>
      <w:iCs/>
      <w:color w:val="3066C4" w:themeColor="text1" w:themeTint="A6"/>
    </w:rPr>
  </w:style>
  <w:style w:type="paragraph" w:styleId="Heading7">
    <w:name w:val="heading 7"/>
    <w:basedOn w:val="Normal"/>
    <w:next w:val="Normal"/>
    <w:link w:val="Heading7Char"/>
    <w:uiPriority w:val="9"/>
    <w:semiHidden/>
    <w:unhideWhenUsed/>
    <w:qFormat/>
    <w:rsid w:val="00727709"/>
    <w:pPr>
      <w:keepNext/>
      <w:keepLines/>
      <w:spacing w:before="40" w:after="0"/>
      <w:outlineLvl w:val="6"/>
    </w:pPr>
    <w:rPr>
      <w:rFonts w:eastAsiaTheme="majorEastAsia" w:cstheme="majorBidi"/>
      <w:color w:val="3066C4" w:themeColor="text1" w:themeTint="A6"/>
    </w:rPr>
  </w:style>
  <w:style w:type="paragraph" w:styleId="Heading8">
    <w:name w:val="heading 8"/>
    <w:basedOn w:val="Normal"/>
    <w:next w:val="Normal"/>
    <w:link w:val="Heading8Char"/>
    <w:uiPriority w:val="9"/>
    <w:semiHidden/>
    <w:unhideWhenUsed/>
    <w:qFormat/>
    <w:rsid w:val="00727709"/>
    <w:pPr>
      <w:keepNext/>
      <w:keepLines/>
      <w:spacing w:after="0"/>
      <w:outlineLvl w:val="7"/>
    </w:pPr>
    <w:rPr>
      <w:rFonts w:eastAsiaTheme="majorEastAsia" w:cstheme="majorBidi"/>
      <w:i/>
      <w:iCs/>
      <w:color w:val="204584" w:themeColor="text1" w:themeTint="D8"/>
    </w:rPr>
  </w:style>
  <w:style w:type="paragraph" w:styleId="Heading9">
    <w:name w:val="heading 9"/>
    <w:basedOn w:val="Normal"/>
    <w:next w:val="Normal"/>
    <w:link w:val="Heading9Char"/>
    <w:uiPriority w:val="9"/>
    <w:semiHidden/>
    <w:unhideWhenUsed/>
    <w:qFormat/>
    <w:rsid w:val="00727709"/>
    <w:pPr>
      <w:keepNext/>
      <w:keepLines/>
      <w:spacing w:after="0"/>
      <w:outlineLvl w:val="8"/>
    </w:pPr>
    <w:rPr>
      <w:rFonts w:eastAsiaTheme="majorEastAsia" w:cstheme="majorBidi"/>
      <w:color w:val="20458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09"/>
    <w:rPr>
      <w:rFonts w:asciiTheme="majorHAnsi" w:eastAsiaTheme="majorEastAsia" w:hAnsiTheme="majorHAnsi" w:cstheme="majorBidi"/>
      <w:color w:val="00546F" w:themeColor="accent1" w:themeShade="BF"/>
      <w:sz w:val="40"/>
      <w:szCs w:val="40"/>
    </w:rPr>
  </w:style>
  <w:style w:type="character" w:customStyle="1" w:styleId="Heading2Char">
    <w:name w:val="Heading 2 Char"/>
    <w:basedOn w:val="DefaultParagraphFont"/>
    <w:link w:val="Heading2"/>
    <w:uiPriority w:val="9"/>
    <w:semiHidden/>
    <w:rsid w:val="00727709"/>
    <w:rPr>
      <w:rFonts w:asciiTheme="majorHAnsi" w:eastAsiaTheme="majorEastAsia" w:hAnsiTheme="majorHAnsi" w:cstheme="majorBidi"/>
      <w:color w:val="00546F" w:themeColor="accent1" w:themeShade="BF"/>
      <w:sz w:val="32"/>
      <w:szCs w:val="32"/>
    </w:rPr>
  </w:style>
  <w:style w:type="character" w:customStyle="1" w:styleId="Heading3Char">
    <w:name w:val="Heading 3 Char"/>
    <w:basedOn w:val="DefaultParagraphFont"/>
    <w:link w:val="Heading3"/>
    <w:uiPriority w:val="9"/>
    <w:semiHidden/>
    <w:rsid w:val="00727709"/>
    <w:rPr>
      <w:rFonts w:eastAsiaTheme="majorEastAsia" w:cstheme="majorBidi"/>
      <w:color w:val="00546F" w:themeColor="accent1" w:themeShade="BF"/>
      <w:sz w:val="28"/>
      <w:szCs w:val="28"/>
    </w:rPr>
  </w:style>
  <w:style w:type="character" w:customStyle="1" w:styleId="Heading4Char">
    <w:name w:val="Heading 4 Char"/>
    <w:basedOn w:val="DefaultParagraphFont"/>
    <w:link w:val="Heading4"/>
    <w:uiPriority w:val="9"/>
    <w:semiHidden/>
    <w:rsid w:val="00727709"/>
    <w:rPr>
      <w:rFonts w:eastAsiaTheme="majorEastAsia" w:cstheme="majorBidi"/>
      <w:i/>
      <w:iCs/>
      <w:color w:val="00546F" w:themeColor="accent1" w:themeShade="BF"/>
    </w:rPr>
  </w:style>
  <w:style w:type="character" w:customStyle="1" w:styleId="Heading5Char">
    <w:name w:val="Heading 5 Char"/>
    <w:basedOn w:val="DefaultParagraphFont"/>
    <w:link w:val="Heading5"/>
    <w:uiPriority w:val="9"/>
    <w:semiHidden/>
    <w:rsid w:val="00727709"/>
    <w:rPr>
      <w:rFonts w:eastAsiaTheme="majorEastAsia" w:cstheme="majorBidi"/>
      <w:color w:val="00546F" w:themeColor="accent1" w:themeShade="BF"/>
    </w:rPr>
  </w:style>
  <w:style w:type="character" w:customStyle="1" w:styleId="Heading6Char">
    <w:name w:val="Heading 6 Char"/>
    <w:basedOn w:val="DefaultParagraphFont"/>
    <w:link w:val="Heading6"/>
    <w:uiPriority w:val="9"/>
    <w:semiHidden/>
    <w:rsid w:val="00727709"/>
    <w:rPr>
      <w:rFonts w:eastAsiaTheme="majorEastAsia" w:cstheme="majorBidi"/>
      <w:i/>
      <w:iCs/>
      <w:color w:val="3066C4" w:themeColor="text1" w:themeTint="A6"/>
    </w:rPr>
  </w:style>
  <w:style w:type="character" w:customStyle="1" w:styleId="Heading7Char">
    <w:name w:val="Heading 7 Char"/>
    <w:basedOn w:val="DefaultParagraphFont"/>
    <w:link w:val="Heading7"/>
    <w:uiPriority w:val="9"/>
    <w:semiHidden/>
    <w:rsid w:val="00727709"/>
    <w:rPr>
      <w:rFonts w:eastAsiaTheme="majorEastAsia" w:cstheme="majorBidi"/>
      <w:color w:val="3066C4" w:themeColor="text1" w:themeTint="A6"/>
    </w:rPr>
  </w:style>
  <w:style w:type="character" w:customStyle="1" w:styleId="Heading8Char">
    <w:name w:val="Heading 8 Char"/>
    <w:basedOn w:val="DefaultParagraphFont"/>
    <w:link w:val="Heading8"/>
    <w:uiPriority w:val="9"/>
    <w:semiHidden/>
    <w:rsid w:val="00727709"/>
    <w:rPr>
      <w:rFonts w:eastAsiaTheme="majorEastAsia" w:cstheme="majorBidi"/>
      <w:i/>
      <w:iCs/>
      <w:color w:val="204584" w:themeColor="text1" w:themeTint="D8"/>
    </w:rPr>
  </w:style>
  <w:style w:type="character" w:customStyle="1" w:styleId="Heading9Char">
    <w:name w:val="Heading 9 Char"/>
    <w:basedOn w:val="DefaultParagraphFont"/>
    <w:link w:val="Heading9"/>
    <w:uiPriority w:val="9"/>
    <w:semiHidden/>
    <w:rsid w:val="00727709"/>
    <w:rPr>
      <w:rFonts w:eastAsiaTheme="majorEastAsia" w:cstheme="majorBidi"/>
      <w:color w:val="204584" w:themeColor="text1" w:themeTint="D8"/>
    </w:rPr>
  </w:style>
  <w:style w:type="paragraph" w:styleId="Title">
    <w:name w:val="Title"/>
    <w:basedOn w:val="Normal"/>
    <w:next w:val="Normal"/>
    <w:link w:val="TitleChar"/>
    <w:uiPriority w:val="10"/>
    <w:qFormat/>
    <w:rsid w:val="00727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709"/>
    <w:pPr>
      <w:numPr>
        <w:ilvl w:val="1"/>
      </w:numPr>
    </w:pPr>
    <w:rPr>
      <w:rFonts w:eastAsiaTheme="majorEastAsia" w:cstheme="majorBidi"/>
      <w:color w:val="3066C4" w:themeColor="text1" w:themeTint="A6"/>
      <w:spacing w:val="15"/>
      <w:sz w:val="28"/>
      <w:szCs w:val="28"/>
    </w:rPr>
  </w:style>
  <w:style w:type="character" w:customStyle="1" w:styleId="SubtitleChar">
    <w:name w:val="Subtitle Char"/>
    <w:basedOn w:val="DefaultParagraphFont"/>
    <w:link w:val="Subtitle"/>
    <w:uiPriority w:val="11"/>
    <w:rsid w:val="00727709"/>
    <w:rPr>
      <w:rFonts w:eastAsiaTheme="majorEastAsia" w:cstheme="majorBidi"/>
      <w:color w:val="3066C4" w:themeColor="text1" w:themeTint="A6"/>
      <w:spacing w:val="15"/>
      <w:sz w:val="28"/>
      <w:szCs w:val="28"/>
    </w:rPr>
  </w:style>
  <w:style w:type="paragraph" w:styleId="Quote">
    <w:name w:val="Quote"/>
    <w:basedOn w:val="Normal"/>
    <w:next w:val="Normal"/>
    <w:link w:val="QuoteChar"/>
    <w:uiPriority w:val="29"/>
    <w:qFormat/>
    <w:rsid w:val="00727709"/>
    <w:pPr>
      <w:spacing w:before="160"/>
      <w:jc w:val="center"/>
    </w:pPr>
    <w:rPr>
      <w:i/>
      <w:iCs/>
      <w:color w:val="2855A4" w:themeColor="text1" w:themeTint="BF"/>
    </w:rPr>
  </w:style>
  <w:style w:type="character" w:customStyle="1" w:styleId="QuoteChar">
    <w:name w:val="Quote Char"/>
    <w:basedOn w:val="DefaultParagraphFont"/>
    <w:link w:val="Quote"/>
    <w:uiPriority w:val="29"/>
    <w:rsid w:val="00727709"/>
    <w:rPr>
      <w:i/>
      <w:iCs/>
      <w:color w:val="2855A4" w:themeColor="text1" w:themeTint="BF"/>
    </w:rPr>
  </w:style>
  <w:style w:type="paragraph" w:styleId="ListParagraph">
    <w:name w:val="List Paragraph"/>
    <w:basedOn w:val="Normal"/>
    <w:uiPriority w:val="34"/>
    <w:qFormat/>
    <w:rsid w:val="00727709"/>
    <w:pPr>
      <w:ind w:left="720"/>
      <w:contextualSpacing/>
    </w:pPr>
  </w:style>
  <w:style w:type="character" w:styleId="IntenseEmphasis">
    <w:name w:val="Intense Emphasis"/>
    <w:basedOn w:val="DefaultParagraphFont"/>
    <w:uiPriority w:val="21"/>
    <w:qFormat/>
    <w:rsid w:val="00727709"/>
    <w:rPr>
      <w:i/>
      <w:iCs/>
      <w:color w:val="00546F" w:themeColor="accent1" w:themeShade="BF"/>
    </w:rPr>
  </w:style>
  <w:style w:type="paragraph" w:styleId="IntenseQuote">
    <w:name w:val="Intense Quote"/>
    <w:basedOn w:val="Normal"/>
    <w:next w:val="Normal"/>
    <w:link w:val="IntenseQuoteChar"/>
    <w:uiPriority w:val="30"/>
    <w:qFormat/>
    <w:rsid w:val="00727709"/>
    <w:pPr>
      <w:pBdr>
        <w:top w:val="single" w:sz="4" w:space="10" w:color="00546F" w:themeColor="accent1" w:themeShade="BF"/>
        <w:bottom w:val="single" w:sz="4" w:space="10" w:color="00546F" w:themeColor="accent1" w:themeShade="BF"/>
      </w:pBdr>
      <w:spacing w:before="360" w:after="360"/>
      <w:ind w:left="864" w:right="864"/>
      <w:jc w:val="center"/>
    </w:pPr>
    <w:rPr>
      <w:i/>
      <w:iCs/>
      <w:color w:val="00546F" w:themeColor="accent1" w:themeShade="BF"/>
    </w:rPr>
  </w:style>
  <w:style w:type="character" w:customStyle="1" w:styleId="IntenseQuoteChar">
    <w:name w:val="Intense Quote Char"/>
    <w:basedOn w:val="DefaultParagraphFont"/>
    <w:link w:val="IntenseQuote"/>
    <w:uiPriority w:val="30"/>
    <w:rsid w:val="00727709"/>
    <w:rPr>
      <w:i/>
      <w:iCs/>
      <w:color w:val="00546F" w:themeColor="accent1" w:themeShade="BF"/>
    </w:rPr>
  </w:style>
  <w:style w:type="character" w:styleId="IntenseReference">
    <w:name w:val="Intense Reference"/>
    <w:basedOn w:val="DefaultParagraphFont"/>
    <w:uiPriority w:val="32"/>
    <w:qFormat/>
    <w:rsid w:val="00727709"/>
    <w:rPr>
      <w:b/>
      <w:bCs/>
      <w:smallCaps/>
      <w:color w:val="00546F" w:themeColor="accent1" w:themeShade="BF"/>
      <w:spacing w:val="5"/>
    </w:rPr>
  </w:style>
  <w:style w:type="paragraph" w:styleId="Header">
    <w:name w:val="header"/>
    <w:basedOn w:val="Normal"/>
    <w:link w:val="HeaderChar"/>
    <w:uiPriority w:val="99"/>
    <w:unhideWhenUsed/>
    <w:rsid w:val="00C0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9B"/>
    <w:rPr>
      <w:rFonts w:eastAsiaTheme="minorEastAsia"/>
      <w:kern w:val="0"/>
      <w:sz w:val="22"/>
      <w:szCs w:val="22"/>
      <w14:ligatures w14:val="none"/>
    </w:rPr>
  </w:style>
  <w:style w:type="paragraph" w:styleId="Footer">
    <w:name w:val="footer"/>
    <w:basedOn w:val="Normal"/>
    <w:link w:val="FooterChar"/>
    <w:uiPriority w:val="99"/>
    <w:unhideWhenUsed/>
    <w:rsid w:val="00C0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9B"/>
    <w:rPr>
      <w:rFonts w:eastAsiaTheme="minorEastAsia"/>
      <w:kern w:val="0"/>
      <w:sz w:val="22"/>
      <w:szCs w:val="22"/>
      <w14:ligatures w14:val="none"/>
    </w:rPr>
  </w:style>
  <w:style w:type="character" w:styleId="Hyperlink">
    <w:name w:val="Hyperlink"/>
    <w:basedOn w:val="DefaultParagraphFont"/>
    <w:uiPriority w:val="99"/>
    <w:unhideWhenUsed/>
    <w:rsid w:val="00373575"/>
    <w:rPr>
      <w:color w:val="00719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UL Brand 2.0 Palette">
      <a:dk1>
        <a:srgbClr val="142B52"/>
      </a:dk1>
      <a:lt1>
        <a:srgbClr val="F2F0E1"/>
      </a:lt1>
      <a:dk2>
        <a:srgbClr val="142B52"/>
      </a:dk2>
      <a:lt2>
        <a:srgbClr val="F2F0E1"/>
      </a:lt2>
      <a:accent1>
        <a:srgbClr val="007195"/>
      </a:accent1>
      <a:accent2>
        <a:srgbClr val="46A7B7"/>
      </a:accent2>
      <a:accent3>
        <a:srgbClr val="FF9987"/>
      </a:accent3>
      <a:accent4>
        <a:srgbClr val="E2F9F1"/>
      </a:accent4>
      <a:accent5>
        <a:srgbClr val="948C7A"/>
      </a:accent5>
      <a:accent6>
        <a:srgbClr val="F2F0E1"/>
      </a:accent6>
      <a:hlink>
        <a:srgbClr val="007195"/>
      </a:hlink>
      <a:folHlink>
        <a:srgbClr val="948C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nlane@carolinasleague.org</dc:creator>
  <cp:keywords/>
  <dc:description/>
  <cp:lastModifiedBy>nlane@carolinasleague.org</cp:lastModifiedBy>
  <cp:revision>4</cp:revision>
  <dcterms:created xsi:type="dcterms:W3CDTF">2025-08-27T16:40:00Z</dcterms:created>
  <dcterms:modified xsi:type="dcterms:W3CDTF">2025-08-27T16:44:00Z</dcterms:modified>
</cp:coreProperties>
</file>