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6FCF7" w14:textId="7D7E012F" w:rsidR="00DA52F5" w:rsidRPr="00937A9E" w:rsidRDefault="00840F71" w:rsidP="00DA52F5">
      <w:pPr>
        <w:pStyle w:val="Title"/>
      </w:pPr>
      <w:r>
        <w:t>NCUA Chairman Hauptman</w:t>
      </w:r>
      <w:r w:rsidR="00C1423C">
        <w:t xml:space="preserve"> Meeting </w:t>
      </w:r>
      <w:r w:rsidR="00DA52F5" w:rsidRPr="00937A9E">
        <w:t>Memo</w:t>
      </w:r>
    </w:p>
    <w:p w14:paraId="37208F63" w14:textId="77777777" w:rsidR="00840F71" w:rsidRPr="00840F71" w:rsidRDefault="00840F71" w:rsidP="00DA52F5">
      <w:pPr>
        <w:spacing w:after="80"/>
        <w:rPr>
          <w:rFonts w:eastAsia="IBM Plex Sans"/>
          <w:color w:val="142B52"/>
          <w:sz w:val="6"/>
          <w:szCs w:val="6"/>
        </w:rPr>
      </w:pPr>
    </w:p>
    <w:p w14:paraId="58E4D0B9" w14:textId="66005DEF" w:rsidR="00DA52F5" w:rsidRPr="00AA22A1" w:rsidRDefault="00DA52F5" w:rsidP="00DA52F5">
      <w:pPr>
        <w:spacing w:after="80"/>
        <w:rPr>
          <w:rFonts w:eastAsia="IBM Plex Sans"/>
          <w:color w:val="142B52"/>
          <w:sz w:val="19"/>
          <w:szCs w:val="19"/>
        </w:rPr>
      </w:pPr>
      <w:r w:rsidRPr="00AA22A1">
        <w:rPr>
          <w:rFonts w:eastAsia="IBM Plex Sans"/>
          <w:b/>
          <w:bCs/>
          <w:color w:val="142B52"/>
          <w:sz w:val="19"/>
          <w:szCs w:val="19"/>
        </w:rPr>
        <w:t>From</w:t>
      </w:r>
      <w:r w:rsidRPr="00AA22A1">
        <w:rPr>
          <w:rFonts w:eastAsia="IBM Plex Sans"/>
          <w:color w:val="142B52"/>
          <w:sz w:val="19"/>
          <w:szCs w:val="19"/>
        </w:rPr>
        <w:t>: Nate Lane</w:t>
      </w:r>
      <w:r w:rsidR="005A26F5">
        <w:rPr>
          <w:rFonts w:eastAsia="IBM Plex Sans"/>
          <w:color w:val="142B52"/>
          <w:sz w:val="19"/>
          <w:szCs w:val="19"/>
        </w:rPr>
        <w:t>, CCUL Director of Federal Affairs</w:t>
      </w:r>
    </w:p>
    <w:p w14:paraId="5D283208" w14:textId="66CA2E18" w:rsidR="00DA52F5" w:rsidRDefault="00DA52F5" w:rsidP="00DA52F5">
      <w:pPr>
        <w:spacing w:after="80"/>
        <w:rPr>
          <w:rFonts w:eastAsia="IBM Plex Sans"/>
          <w:color w:val="142B52"/>
          <w:sz w:val="19"/>
          <w:szCs w:val="19"/>
        </w:rPr>
      </w:pPr>
      <w:r w:rsidRPr="00AA22A1">
        <w:rPr>
          <w:rFonts w:eastAsia="IBM Plex Sans"/>
          <w:b/>
          <w:bCs/>
          <w:color w:val="142B52"/>
          <w:sz w:val="19"/>
          <w:szCs w:val="19"/>
        </w:rPr>
        <w:t>Date</w:t>
      </w:r>
      <w:r w:rsidRPr="00AA22A1">
        <w:rPr>
          <w:rFonts w:eastAsia="IBM Plex Sans"/>
          <w:color w:val="142B52"/>
          <w:sz w:val="19"/>
          <w:szCs w:val="19"/>
        </w:rPr>
        <w:t>:</w:t>
      </w:r>
      <w:r>
        <w:rPr>
          <w:rFonts w:eastAsia="IBM Plex Sans"/>
          <w:color w:val="142B52"/>
          <w:sz w:val="19"/>
          <w:szCs w:val="19"/>
        </w:rPr>
        <w:t xml:space="preserve"> </w:t>
      </w:r>
      <w:r w:rsidR="00840F71">
        <w:rPr>
          <w:rFonts w:eastAsia="IBM Plex Sans"/>
          <w:color w:val="142B52"/>
          <w:sz w:val="19"/>
          <w:szCs w:val="19"/>
        </w:rPr>
        <w:t>Tuesday</w:t>
      </w:r>
      <w:r w:rsidR="001401B5">
        <w:rPr>
          <w:rFonts w:eastAsia="IBM Plex Sans"/>
          <w:color w:val="142B52"/>
          <w:sz w:val="19"/>
          <w:szCs w:val="19"/>
        </w:rPr>
        <w:t xml:space="preserve">, </w:t>
      </w:r>
      <w:r w:rsidR="00E2420F">
        <w:rPr>
          <w:rFonts w:eastAsia="IBM Plex Sans"/>
          <w:color w:val="142B52"/>
          <w:sz w:val="19"/>
          <w:szCs w:val="19"/>
        </w:rPr>
        <w:t>October</w:t>
      </w:r>
      <w:r w:rsidR="00840F71">
        <w:rPr>
          <w:rFonts w:eastAsia="IBM Plex Sans"/>
          <w:color w:val="142B52"/>
          <w:sz w:val="19"/>
          <w:szCs w:val="19"/>
        </w:rPr>
        <w:t xml:space="preserve"> 2</w:t>
      </w:r>
      <w:r w:rsidR="00E2420F">
        <w:rPr>
          <w:rFonts w:eastAsia="IBM Plex Sans"/>
          <w:color w:val="142B52"/>
          <w:sz w:val="19"/>
          <w:szCs w:val="19"/>
        </w:rPr>
        <w:t>1</w:t>
      </w:r>
      <w:r w:rsidR="001401B5">
        <w:rPr>
          <w:rFonts w:eastAsia="IBM Plex Sans"/>
          <w:color w:val="142B52"/>
          <w:sz w:val="19"/>
          <w:szCs w:val="19"/>
        </w:rPr>
        <w:t>, 20</w:t>
      </w:r>
      <w:r w:rsidR="005A26F5">
        <w:rPr>
          <w:rFonts w:eastAsia="IBM Plex Sans"/>
          <w:color w:val="142B52"/>
          <w:sz w:val="19"/>
          <w:szCs w:val="19"/>
        </w:rPr>
        <w:t>25</w:t>
      </w:r>
    </w:p>
    <w:p w14:paraId="2E79E7EC" w14:textId="15663CA2" w:rsidR="00C1423C" w:rsidRPr="00AA22A1" w:rsidRDefault="00C1423C" w:rsidP="00DA52F5">
      <w:pPr>
        <w:spacing w:after="80"/>
        <w:rPr>
          <w:rFonts w:eastAsia="IBM Plex Sans"/>
          <w:color w:val="142B52"/>
          <w:sz w:val="19"/>
          <w:szCs w:val="19"/>
        </w:rPr>
      </w:pPr>
      <w:r w:rsidRPr="00C1423C">
        <w:rPr>
          <w:rFonts w:eastAsia="IBM Plex Sans"/>
          <w:b/>
          <w:bCs/>
          <w:color w:val="142B52"/>
          <w:sz w:val="19"/>
          <w:szCs w:val="19"/>
        </w:rPr>
        <w:t>Time</w:t>
      </w:r>
      <w:r w:rsidRPr="00C1423C">
        <w:rPr>
          <w:rFonts w:eastAsia="IBM Plex Sans"/>
          <w:color w:val="142B52"/>
          <w:sz w:val="19"/>
          <w:szCs w:val="19"/>
        </w:rPr>
        <w:t>:</w:t>
      </w:r>
      <w:r>
        <w:rPr>
          <w:rFonts w:eastAsia="IBM Plex Sans"/>
          <w:color w:val="142B52"/>
          <w:sz w:val="19"/>
          <w:szCs w:val="19"/>
        </w:rPr>
        <w:t xml:space="preserve"> </w:t>
      </w:r>
      <w:r w:rsidR="00E2420F">
        <w:rPr>
          <w:rFonts w:eastAsia="IBM Plex Sans"/>
          <w:color w:val="142B52"/>
          <w:sz w:val="19"/>
          <w:szCs w:val="19"/>
        </w:rPr>
        <w:t xml:space="preserve">1:00 </w:t>
      </w:r>
      <w:r>
        <w:rPr>
          <w:rFonts w:eastAsia="IBM Plex Sans"/>
          <w:color w:val="142B52"/>
          <w:sz w:val="19"/>
          <w:szCs w:val="19"/>
        </w:rPr>
        <w:t>PM</w:t>
      </w:r>
      <w:r w:rsidR="0009278F">
        <w:rPr>
          <w:rFonts w:eastAsia="IBM Plex Sans"/>
          <w:color w:val="142B52"/>
          <w:sz w:val="19"/>
          <w:szCs w:val="19"/>
        </w:rPr>
        <w:t xml:space="preserve"> EST</w:t>
      </w:r>
    </w:p>
    <w:p w14:paraId="6A143B2A" w14:textId="45B70E7D" w:rsidR="00DA52F5" w:rsidRPr="00AA22A1" w:rsidRDefault="00DA52F5" w:rsidP="00DA52F5">
      <w:pPr>
        <w:spacing w:after="80"/>
        <w:rPr>
          <w:rFonts w:eastAsia="IBM Plex Sans"/>
          <w:color w:val="142B52"/>
          <w:sz w:val="19"/>
          <w:szCs w:val="19"/>
        </w:rPr>
      </w:pPr>
      <w:r w:rsidRPr="00AA22A1">
        <w:rPr>
          <w:rFonts w:eastAsia="IBM Plex Sans"/>
          <w:b/>
          <w:bCs/>
          <w:color w:val="142B52"/>
          <w:sz w:val="19"/>
          <w:szCs w:val="19"/>
        </w:rPr>
        <w:t>Location</w:t>
      </w:r>
      <w:r w:rsidRPr="00AA22A1">
        <w:rPr>
          <w:rFonts w:eastAsia="IBM Plex Sans"/>
          <w:color w:val="142B52"/>
          <w:sz w:val="19"/>
          <w:szCs w:val="19"/>
        </w:rPr>
        <w:t xml:space="preserve">: </w:t>
      </w:r>
      <w:r w:rsidR="00E2420F">
        <w:rPr>
          <w:rFonts w:eastAsia="IBM Plex Sans"/>
          <w:color w:val="142B52"/>
          <w:sz w:val="19"/>
          <w:szCs w:val="19"/>
        </w:rPr>
        <w:t xml:space="preserve">385 Russell Senate Office Building </w:t>
      </w:r>
      <w:r w:rsidR="00C14318">
        <w:rPr>
          <w:rFonts w:eastAsia="IBM Plex Sans"/>
          <w:color w:val="142B52"/>
          <w:sz w:val="19"/>
          <w:szCs w:val="19"/>
        </w:rPr>
        <w:t xml:space="preserve">Spero </w:t>
      </w:r>
    </w:p>
    <w:p w14:paraId="252EA76E" w14:textId="424B6CBC" w:rsidR="00DA52F5" w:rsidRPr="00AA22A1" w:rsidRDefault="00DA52F5" w:rsidP="00DA52F5">
      <w:pPr>
        <w:spacing w:after="80"/>
        <w:rPr>
          <w:rFonts w:eastAsia="IBM Plex Sans"/>
          <w:color w:val="142B52"/>
          <w:sz w:val="19"/>
          <w:szCs w:val="19"/>
        </w:rPr>
      </w:pPr>
      <w:r w:rsidRPr="00AA22A1">
        <w:rPr>
          <w:rFonts w:eastAsia="IBM Plex Sans"/>
          <w:b/>
          <w:bCs/>
          <w:color w:val="142B52"/>
          <w:sz w:val="19"/>
          <w:szCs w:val="19"/>
        </w:rPr>
        <w:t>Re</w:t>
      </w:r>
      <w:r w:rsidRPr="00AA22A1">
        <w:rPr>
          <w:rFonts w:eastAsia="IBM Plex Sans"/>
          <w:color w:val="142B52"/>
          <w:sz w:val="19"/>
          <w:szCs w:val="19"/>
        </w:rPr>
        <w:t xml:space="preserve">: </w:t>
      </w:r>
      <w:r>
        <w:rPr>
          <w:rFonts w:eastAsia="IBM Plex Sans"/>
          <w:color w:val="142B52"/>
          <w:sz w:val="19"/>
          <w:szCs w:val="19"/>
        </w:rPr>
        <w:t xml:space="preserve">Meeting with </w:t>
      </w:r>
      <w:r w:rsidR="00E2420F">
        <w:rPr>
          <w:rFonts w:eastAsia="IBM Plex Sans"/>
          <w:color w:val="142B52"/>
          <w:sz w:val="19"/>
          <w:szCs w:val="19"/>
        </w:rPr>
        <w:t xml:space="preserve">NCUA Chairman Kyle Hauptman during Hike the Hill </w:t>
      </w:r>
    </w:p>
    <w:p w14:paraId="09D9F364" w14:textId="77777777" w:rsidR="00DA52F5" w:rsidRPr="00982586" w:rsidRDefault="00DA52F5" w:rsidP="00DA52F5">
      <w:pPr>
        <w:pBdr>
          <w:bottom w:val="single" w:sz="6" w:space="1" w:color="auto"/>
        </w:pBdr>
        <w:spacing w:after="80"/>
        <w:rPr>
          <w:rFonts w:eastAsia="IBM Plex Sans"/>
          <w:color w:val="142B52"/>
          <w:sz w:val="6"/>
          <w:szCs w:val="6"/>
        </w:rPr>
      </w:pPr>
    </w:p>
    <w:p w14:paraId="4418E153" w14:textId="71678934" w:rsidR="00CA5FC5" w:rsidRPr="00982586" w:rsidRDefault="00CA5FC5" w:rsidP="00DA52F5">
      <w:pPr>
        <w:spacing w:after="80"/>
        <w:rPr>
          <w:rFonts w:eastAsia="IBM Plex Sans"/>
          <w:b/>
          <w:bCs/>
          <w:color w:val="142B52"/>
          <w:sz w:val="6"/>
          <w:szCs w:val="6"/>
          <w:u w:val="single"/>
          <w:lang w:val="en-US"/>
        </w:rPr>
      </w:pPr>
    </w:p>
    <w:p w14:paraId="034D7C68" w14:textId="433ADC0E" w:rsidR="00DA52F5" w:rsidRPr="00982586" w:rsidRDefault="00DA52F5" w:rsidP="00DA52F5">
      <w:pPr>
        <w:spacing w:after="80"/>
        <w:rPr>
          <w:rFonts w:eastAsia="IBM Plex Sans"/>
          <w:b/>
          <w:bCs/>
          <w:color w:val="142B52"/>
          <w:sz w:val="18"/>
          <w:szCs w:val="18"/>
          <w:u w:val="single"/>
          <w:lang w:val="en-US"/>
        </w:rPr>
      </w:pPr>
      <w:r w:rsidRPr="00982586">
        <w:rPr>
          <w:rFonts w:eastAsia="IBM Plex Sans"/>
          <w:b/>
          <w:bCs/>
          <w:color w:val="142B52"/>
          <w:sz w:val="18"/>
          <w:szCs w:val="18"/>
          <w:u w:val="single"/>
          <w:lang w:val="en-US"/>
        </w:rPr>
        <w:t>Purpose of Meeting</w:t>
      </w:r>
    </w:p>
    <w:p w14:paraId="2E1284EB" w14:textId="7CE5D8B5" w:rsidR="00F27DDA" w:rsidRPr="00982586" w:rsidRDefault="00F27DDA" w:rsidP="00DA52F5">
      <w:pPr>
        <w:spacing w:after="80"/>
        <w:rPr>
          <w:rFonts w:eastAsia="IBM Plex Sans"/>
          <w:sz w:val="18"/>
          <w:szCs w:val="18"/>
          <w:lang w:val="en-US"/>
        </w:rPr>
      </w:pPr>
      <w:r w:rsidRPr="00982586">
        <w:rPr>
          <w:rFonts w:eastAsia="IBM Plex Sans"/>
          <w:sz w:val="18"/>
          <w:szCs w:val="18"/>
          <w:lang w:val="en-US"/>
        </w:rPr>
        <w:t>The purpose of this meeting is to bring together credit union leaders and the NCUA Chairman in Washington, D.C., for a discussion on the agency’s supervisory priorities for 2026. Topics will include credit risk, liquidity and interest rate challenges, cybersecurity, succession planning, and other governance issues. The meeting will also provide an opportunity to share perspectives on how NCUA’s priorities align with the operational realities of credit unions and how the agency and industry can work together to strengthen member service and institutional resilience.</w:t>
      </w:r>
    </w:p>
    <w:p w14:paraId="733391B7" w14:textId="77777777" w:rsidR="00DA52F5" w:rsidRPr="00982586" w:rsidRDefault="00DA52F5" w:rsidP="00DA52F5">
      <w:pPr>
        <w:spacing w:after="80"/>
        <w:rPr>
          <w:rFonts w:eastAsia="IBM Plex Sans"/>
          <w:color w:val="142B52"/>
          <w:sz w:val="18"/>
          <w:szCs w:val="18"/>
          <w:lang w:val="en-US"/>
        </w:rPr>
      </w:pPr>
      <w:r w:rsidRPr="00982586">
        <w:rPr>
          <w:rFonts w:eastAsia="IBM Plex Sans"/>
          <w:b/>
          <w:bCs/>
          <w:color w:val="142B52"/>
          <w:sz w:val="18"/>
          <w:szCs w:val="18"/>
          <w:u w:val="single"/>
          <w:lang w:val="en-US"/>
        </w:rPr>
        <w:t>Meeting Discussion Points</w:t>
      </w:r>
    </w:p>
    <w:p w14:paraId="1C6A1E2E" w14:textId="19C25A4B" w:rsidR="00DA52F5" w:rsidRPr="00982586" w:rsidRDefault="00E2420F" w:rsidP="00DA52F5">
      <w:pPr>
        <w:numPr>
          <w:ilvl w:val="0"/>
          <w:numId w:val="1"/>
        </w:numPr>
        <w:spacing w:after="80"/>
        <w:rPr>
          <w:rFonts w:eastAsia="IBM Plex Sans"/>
          <w:b/>
          <w:bCs/>
          <w:color w:val="142B52"/>
          <w:sz w:val="18"/>
          <w:szCs w:val="18"/>
          <w:lang w:val="en-US"/>
        </w:rPr>
      </w:pPr>
      <w:r w:rsidRPr="00982586">
        <w:rPr>
          <w:rFonts w:eastAsia="IBM Plex Sans"/>
          <w:b/>
          <w:bCs/>
          <w:color w:val="142B52"/>
          <w:sz w:val="18"/>
          <w:szCs w:val="18"/>
          <w:lang w:val="en-US"/>
        </w:rPr>
        <w:t xml:space="preserve">Succession Planning </w:t>
      </w:r>
    </w:p>
    <w:p w14:paraId="2E149890" w14:textId="0BE9D7D2" w:rsidR="00DA52F5" w:rsidRPr="00982586" w:rsidRDefault="00BA68D3" w:rsidP="00DA52F5">
      <w:pPr>
        <w:numPr>
          <w:ilvl w:val="0"/>
          <w:numId w:val="3"/>
        </w:numPr>
        <w:spacing w:after="80"/>
        <w:rPr>
          <w:rFonts w:eastAsia="IBM Plex Sans"/>
          <w:sz w:val="18"/>
          <w:szCs w:val="18"/>
          <w:lang w:val="en-US"/>
        </w:rPr>
      </w:pPr>
      <w:r w:rsidRPr="00982586">
        <w:rPr>
          <w:rFonts w:eastAsia="IBM Plex Sans"/>
          <w:sz w:val="18"/>
          <w:szCs w:val="18"/>
          <w:lang w:val="en-US"/>
        </w:rPr>
        <w:t xml:space="preserve">The new succession planning rule lacks clarity. Here are a few potential questions to ask of Chair Hauptman concerning both policies for credit unions themselves and within the NCUA: </w:t>
      </w:r>
    </w:p>
    <w:p w14:paraId="672D9B96" w14:textId="79986DF8" w:rsidR="00DA52F5" w:rsidRPr="00982586" w:rsidRDefault="00BA68D3" w:rsidP="00DA52F5">
      <w:pPr>
        <w:numPr>
          <w:ilvl w:val="0"/>
          <w:numId w:val="6"/>
        </w:numPr>
        <w:spacing w:after="80"/>
        <w:rPr>
          <w:rFonts w:eastAsia="IBM Plex Sans"/>
          <w:sz w:val="18"/>
          <w:szCs w:val="18"/>
          <w:lang w:val="en-US"/>
        </w:rPr>
      </w:pPr>
      <w:r w:rsidRPr="00982586">
        <w:rPr>
          <w:rFonts w:eastAsia="IBM Plex Sans"/>
          <w:sz w:val="18"/>
          <w:szCs w:val="18"/>
          <w:lang w:val="en-US"/>
        </w:rPr>
        <w:t>CU Policy – “What steps is NCUA taking to encourage strong succession planning practices within credit unions, particularly at the board and executive levels, to ensure long-term stability and sound governance across the system?”</w:t>
      </w:r>
    </w:p>
    <w:p w14:paraId="5BB6AA13" w14:textId="6DF32606" w:rsidR="00DA52F5" w:rsidRPr="00982586" w:rsidRDefault="00BA68D3" w:rsidP="00DA52F5">
      <w:pPr>
        <w:numPr>
          <w:ilvl w:val="0"/>
          <w:numId w:val="6"/>
        </w:numPr>
        <w:spacing w:after="80"/>
        <w:rPr>
          <w:rFonts w:eastAsia="IBM Plex Sans"/>
          <w:sz w:val="18"/>
          <w:szCs w:val="18"/>
          <w:lang w:val="en-US"/>
        </w:rPr>
      </w:pPr>
      <w:r w:rsidRPr="00982586">
        <w:rPr>
          <w:rFonts w:eastAsia="IBM Plex Sans"/>
          <w:sz w:val="18"/>
          <w:szCs w:val="18"/>
          <w:lang w:val="en-US"/>
        </w:rPr>
        <w:t>Operational - "Within NCUA itself, how are you approaching succession planning to maintain institutional knowledge and leadership continuity</w:t>
      </w:r>
      <w:r w:rsidR="00380E56" w:rsidRPr="00982586">
        <w:rPr>
          <w:rFonts w:eastAsia="IBM Plex Sans"/>
          <w:sz w:val="18"/>
          <w:szCs w:val="18"/>
          <w:lang w:val="en-US"/>
        </w:rPr>
        <w:t>?</w:t>
      </w:r>
    </w:p>
    <w:p w14:paraId="50A92D8D" w14:textId="4A74B0D9" w:rsidR="00527505" w:rsidRPr="00982586" w:rsidRDefault="00527505" w:rsidP="00E2420F">
      <w:pPr>
        <w:pStyle w:val="ListParagraph"/>
        <w:numPr>
          <w:ilvl w:val="0"/>
          <w:numId w:val="1"/>
        </w:numPr>
        <w:rPr>
          <w:rFonts w:eastAsia="IBM Plex Sans"/>
          <w:b/>
          <w:bCs/>
          <w:color w:val="142B52"/>
          <w:sz w:val="18"/>
          <w:szCs w:val="18"/>
          <w:lang w:val="en-US"/>
        </w:rPr>
      </w:pPr>
      <w:r w:rsidRPr="00982586">
        <w:rPr>
          <w:rFonts w:eastAsia="IBM Plex Sans"/>
          <w:b/>
          <w:bCs/>
          <w:color w:val="142B52"/>
          <w:sz w:val="18"/>
          <w:szCs w:val="18"/>
          <w:lang w:val="en-US"/>
        </w:rPr>
        <w:t xml:space="preserve">Governance </w:t>
      </w:r>
    </w:p>
    <w:p w14:paraId="20AE3EF9" w14:textId="12C08125" w:rsidR="00527505" w:rsidRPr="00982586" w:rsidRDefault="00527505" w:rsidP="00527505">
      <w:pPr>
        <w:pStyle w:val="ListParagraph"/>
        <w:numPr>
          <w:ilvl w:val="0"/>
          <w:numId w:val="18"/>
        </w:numPr>
        <w:rPr>
          <w:rFonts w:eastAsia="IBM Plex Sans"/>
          <w:sz w:val="18"/>
          <w:szCs w:val="18"/>
          <w:lang w:val="en-US"/>
        </w:rPr>
      </w:pPr>
      <w:r w:rsidRPr="00982586">
        <w:rPr>
          <w:rFonts w:eastAsia="IBM Plex Sans"/>
          <w:sz w:val="18"/>
          <w:szCs w:val="18"/>
          <w:lang w:val="en-US"/>
        </w:rPr>
        <w:t xml:space="preserve">Several credit unions have been written up by the NCUA for governance concerns – “lack of </w:t>
      </w:r>
      <w:r w:rsidRPr="00982586">
        <w:rPr>
          <w:rFonts w:eastAsia="IBM Plex Sans"/>
          <w:sz w:val="18"/>
          <w:szCs w:val="18"/>
          <w:lang w:val="en-US"/>
        </w:rPr>
        <w:t xml:space="preserve">understanding their roles and </w:t>
      </w:r>
      <w:r w:rsidRPr="00982586">
        <w:rPr>
          <w:rFonts w:eastAsia="IBM Plex Sans"/>
          <w:sz w:val="18"/>
          <w:szCs w:val="18"/>
          <w:lang w:val="en-US"/>
        </w:rPr>
        <w:t xml:space="preserve">responsibilities.” </w:t>
      </w:r>
    </w:p>
    <w:p w14:paraId="3DF97173" w14:textId="18CBB3AB" w:rsidR="00527505" w:rsidRPr="00982586" w:rsidRDefault="00527505" w:rsidP="00527505">
      <w:pPr>
        <w:pStyle w:val="ListParagraph"/>
        <w:numPr>
          <w:ilvl w:val="0"/>
          <w:numId w:val="18"/>
        </w:numPr>
        <w:rPr>
          <w:rFonts w:eastAsia="IBM Plex Sans"/>
          <w:sz w:val="18"/>
          <w:szCs w:val="18"/>
          <w:lang w:val="en-US"/>
        </w:rPr>
      </w:pPr>
      <w:r w:rsidRPr="00982586">
        <w:rPr>
          <w:rFonts w:eastAsia="IBM Plex Sans"/>
          <w:sz w:val="18"/>
          <w:szCs w:val="18"/>
          <w:lang w:val="en-US"/>
        </w:rPr>
        <w:t>One of the stated reasons for this is “inadequate involvement or oversight.”</w:t>
      </w:r>
    </w:p>
    <w:p w14:paraId="114D27B0" w14:textId="2F769F66" w:rsidR="00527505" w:rsidRPr="00982586" w:rsidRDefault="00527505" w:rsidP="00527505">
      <w:pPr>
        <w:pStyle w:val="ListParagraph"/>
        <w:numPr>
          <w:ilvl w:val="0"/>
          <w:numId w:val="19"/>
        </w:numPr>
        <w:rPr>
          <w:rFonts w:eastAsia="IBM Plex Sans"/>
          <w:sz w:val="18"/>
          <w:szCs w:val="18"/>
          <w:lang w:val="en-US"/>
        </w:rPr>
      </w:pPr>
      <w:r w:rsidRPr="00982586">
        <w:rPr>
          <w:rFonts w:eastAsia="IBM Plex Sans"/>
          <w:sz w:val="18"/>
          <w:szCs w:val="18"/>
          <w:lang w:val="en-US"/>
        </w:rPr>
        <w:t>What does the agency mean by inadequate involvement? Any examples would be appreciated.</w:t>
      </w:r>
    </w:p>
    <w:p w14:paraId="1E7417BF" w14:textId="1C890C4A" w:rsidR="00E2420F" w:rsidRPr="00982586" w:rsidRDefault="00E2420F" w:rsidP="00E2420F">
      <w:pPr>
        <w:pStyle w:val="ListParagraph"/>
        <w:numPr>
          <w:ilvl w:val="0"/>
          <w:numId w:val="1"/>
        </w:numPr>
        <w:rPr>
          <w:rFonts w:eastAsia="IBM Plex Sans"/>
          <w:b/>
          <w:bCs/>
          <w:color w:val="142B52"/>
          <w:sz w:val="18"/>
          <w:szCs w:val="18"/>
          <w:lang w:val="en-US"/>
        </w:rPr>
      </w:pPr>
      <w:r w:rsidRPr="00982586">
        <w:rPr>
          <w:rFonts w:eastAsia="IBM Plex Sans"/>
          <w:b/>
          <w:bCs/>
          <w:color w:val="142B52"/>
          <w:sz w:val="18"/>
          <w:szCs w:val="18"/>
          <w:lang w:val="en-US"/>
        </w:rPr>
        <w:t xml:space="preserve">2026 Supervisory Priorities </w:t>
      </w:r>
    </w:p>
    <w:p w14:paraId="1F965FEB" w14:textId="2FC951BF" w:rsidR="008F2C9D" w:rsidRPr="00982586" w:rsidRDefault="008F2C9D" w:rsidP="008F2C9D">
      <w:pPr>
        <w:pStyle w:val="ListParagraph"/>
        <w:numPr>
          <w:ilvl w:val="0"/>
          <w:numId w:val="15"/>
        </w:numPr>
        <w:rPr>
          <w:rFonts w:eastAsia="IBM Plex Sans"/>
          <w:sz w:val="18"/>
          <w:szCs w:val="18"/>
          <w:lang w:val="en-US"/>
        </w:rPr>
      </w:pPr>
      <w:r w:rsidRPr="00982586">
        <w:rPr>
          <w:rFonts w:eastAsia="IBM Plex Sans"/>
          <w:sz w:val="18"/>
          <w:szCs w:val="18"/>
          <w:lang w:val="en-US"/>
        </w:rPr>
        <w:t>Key areas of focus within the NCUA for 2025 are credit risk (especially deteriorating performance in credit card &amp; used vehicle loans), balance sheet management / risks to earnings &amp; net worth, cybersecurity and consumer financial protection issues.</w:t>
      </w:r>
    </w:p>
    <w:p w14:paraId="34FA7A21" w14:textId="11BC92D9" w:rsidR="008F2C9D" w:rsidRPr="00982586" w:rsidRDefault="008F2C9D" w:rsidP="008F2C9D">
      <w:pPr>
        <w:pStyle w:val="ListParagraph"/>
        <w:numPr>
          <w:ilvl w:val="0"/>
          <w:numId w:val="15"/>
        </w:numPr>
        <w:rPr>
          <w:rFonts w:eastAsia="IBM Plex Sans"/>
          <w:sz w:val="18"/>
          <w:szCs w:val="18"/>
          <w:lang w:val="en-US"/>
        </w:rPr>
      </w:pPr>
      <w:r w:rsidRPr="00982586">
        <w:rPr>
          <w:rFonts w:eastAsia="IBM Plex Sans"/>
          <w:sz w:val="18"/>
          <w:szCs w:val="18"/>
          <w:lang w:val="en-US"/>
        </w:rPr>
        <w:t>“What are some of the priorities that NCUA will focus on in 2026?”</w:t>
      </w:r>
    </w:p>
    <w:p w14:paraId="0B7E8110" w14:textId="02615B5D" w:rsidR="00E93172" w:rsidRPr="00982586" w:rsidRDefault="008F2C9D" w:rsidP="00E93172">
      <w:pPr>
        <w:pStyle w:val="ListParagraph"/>
        <w:numPr>
          <w:ilvl w:val="0"/>
          <w:numId w:val="16"/>
        </w:numPr>
        <w:rPr>
          <w:rFonts w:eastAsia="IBM Plex Sans"/>
          <w:sz w:val="18"/>
          <w:szCs w:val="18"/>
          <w:lang w:val="en-US"/>
        </w:rPr>
      </w:pPr>
      <w:r w:rsidRPr="00982586">
        <w:rPr>
          <w:rFonts w:eastAsia="IBM Plex Sans"/>
          <w:sz w:val="18"/>
          <w:szCs w:val="18"/>
          <w:lang w:val="en-US"/>
        </w:rPr>
        <w:t>i.e. emerging &amp; innovation financial technologies, digital assets, climate-related financial risk, concentration risk, operational risks (cyber, fraud), etc.</w:t>
      </w:r>
    </w:p>
    <w:p w14:paraId="5DD29173" w14:textId="1463464E" w:rsidR="00DA52F5" w:rsidRPr="00982586" w:rsidRDefault="00E2420F" w:rsidP="00DA52F5">
      <w:pPr>
        <w:numPr>
          <w:ilvl w:val="0"/>
          <w:numId w:val="1"/>
        </w:numPr>
        <w:spacing w:after="80"/>
        <w:rPr>
          <w:rFonts w:eastAsia="IBM Plex Sans"/>
          <w:b/>
          <w:bCs/>
          <w:color w:val="142B52"/>
          <w:sz w:val="18"/>
          <w:szCs w:val="18"/>
          <w:lang w:val="en-US"/>
        </w:rPr>
      </w:pPr>
      <w:r w:rsidRPr="00982586">
        <w:rPr>
          <w:rFonts w:eastAsia="IBM Plex Sans"/>
          <w:b/>
          <w:bCs/>
          <w:color w:val="142B52"/>
          <w:sz w:val="18"/>
          <w:szCs w:val="18"/>
          <w:lang w:val="en-US"/>
        </w:rPr>
        <w:t xml:space="preserve">Post-Examination Surveys </w:t>
      </w:r>
    </w:p>
    <w:p w14:paraId="13F48CBB" w14:textId="65A713B6" w:rsidR="006E2ADA" w:rsidRPr="00982586" w:rsidRDefault="006E2ADA" w:rsidP="006E2ADA">
      <w:pPr>
        <w:numPr>
          <w:ilvl w:val="0"/>
          <w:numId w:val="5"/>
        </w:numPr>
        <w:spacing w:after="80"/>
        <w:rPr>
          <w:rFonts w:eastAsia="IBM Plex Sans"/>
          <w:sz w:val="18"/>
          <w:szCs w:val="18"/>
          <w:lang w:val="en-US"/>
        </w:rPr>
      </w:pPr>
      <w:r w:rsidRPr="00982586">
        <w:rPr>
          <w:rFonts w:eastAsia="IBM Plex Sans"/>
          <w:sz w:val="18"/>
          <w:szCs w:val="18"/>
          <w:lang w:val="en-US"/>
        </w:rPr>
        <w:t>“Now that a now that a 3rd party is administering the surveys, what type of feedback is the agency receiving?”</w:t>
      </w:r>
    </w:p>
    <w:p w14:paraId="1689B58F" w14:textId="2C67FB84" w:rsidR="00DA52F5" w:rsidRPr="00982586" w:rsidRDefault="00690241" w:rsidP="00DA52F5">
      <w:pPr>
        <w:numPr>
          <w:ilvl w:val="0"/>
          <w:numId w:val="1"/>
        </w:numPr>
        <w:spacing w:after="80"/>
        <w:rPr>
          <w:rFonts w:eastAsia="IBM Plex Sans"/>
          <w:b/>
          <w:bCs/>
          <w:color w:val="142B52"/>
          <w:sz w:val="18"/>
          <w:szCs w:val="18"/>
          <w:lang w:val="en-US"/>
        </w:rPr>
      </w:pPr>
      <w:r w:rsidRPr="00982586">
        <w:rPr>
          <w:rFonts w:eastAsia="IBM Plex Sans"/>
          <w:b/>
          <w:bCs/>
          <w:color w:val="142B52"/>
          <w:sz w:val="18"/>
          <w:szCs w:val="18"/>
          <w:lang w:val="en-US"/>
        </w:rPr>
        <w:t xml:space="preserve">Small Credit Union Resources </w:t>
      </w:r>
    </w:p>
    <w:p w14:paraId="319CAE2F" w14:textId="1D798B6C" w:rsidR="00F00A34" w:rsidRPr="00982586" w:rsidRDefault="006671F3" w:rsidP="00F27DDA">
      <w:pPr>
        <w:numPr>
          <w:ilvl w:val="0"/>
          <w:numId w:val="2"/>
        </w:numPr>
        <w:spacing w:after="80"/>
        <w:rPr>
          <w:rFonts w:eastAsia="IBM Plex Sans"/>
          <w:sz w:val="18"/>
          <w:szCs w:val="18"/>
        </w:rPr>
      </w:pPr>
      <w:r w:rsidRPr="00982586">
        <w:rPr>
          <w:rFonts w:eastAsia="IBM Plex Sans"/>
          <w:sz w:val="18"/>
          <w:szCs w:val="18"/>
          <w:lang w:val="en-US"/>
        </w:rPr>
        <w:t>“What resources are still available for outreach for small credit unions?”</w:t>
      </w:r>
    </w:p>
    <w:sectPr w:rsidR="00F00A34" w:rsidRPr="00982586" w:rsidSect="00DA52F5">
      <w:headerReference w:type="default" r:id="rId7"/>
      <w:footerReference w:type="default" r:id="rId8"/>
      <w:headerReference w:type="first" r:id="rId9"/>
      <w:footerReference w:type="first" r:id="rId10"/>
      <w:pgSz w:w="12240" w:h="15840"/>
      <w:pgMar w:top="2088" w:right="864" w:bottom="1440" w:left="864" w:header="792" w:footer="79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BB06F" w14:textId="77777777" w:rsidR="000D18F5" w:rsidRDefault="000D18F5">
      <w:pPr>
        <w:spacing w:line="240" w:lineRule="auto"/>
      </w:pPr>
      <w:r>
        <w:separator/>
      </w:r>
    </w:p>
  </w:endnote>
  <w:endnote w:type="continuationSeparator" w:id="0">
    <w:p w14:paraId="6FD18FD1" w14:textId="77777777" w:rsidR="000D18F5" w:rsidRDefault="000D18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BM Plex Sans">
    <w:charset w:val="00"/>
    <w:family w:val="swiss"/>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A4DD" w14:textId="77777777" w:rsidR="00764426" w:rsidRDefault="00F27DDA" w:rsidP="009C454B">
    <w:pPr>
      <w:tabs>
        <w:tab w:val="right" w:pos="9270"/>
      </w:tabs>
      <w:spacing w:line="240" w:lineRule="auto"/>
      <w:rPr>
        <w:rFonts w:ascii="IBM Plex Sans" w:eastAsia="IBM Plex Sans" w:hAnsi="IBM Plex Sans" w:cs="IBM Plex Sans"/>
        <w:color w:val="09333E"/>
      </w:rPr>
    </w:pPr>
    <w:r>
      <w:rPr>
        <w:rFonts w:ascii="IBM Plex Sans" w:eastAsia="IBM Plex Sans" w:hAnsi="IBM Plex Sans" w:cs="IBM Plex Sans"/>
        <w:color w:val="09333E"/>
      </w:rPr>
      <w:tab/>
    </w:r>
  </w:p>
  <w:p w14:paraId="3CD06337" w14:textId="77777777" w:rsidR="00764426" w:rsidRDefault="00764426" w:rsidP="00232330">
    <w:pPr>
      <w:tabs>
        <w:tab w:val="right" w:pos="9270"/>
      </w:tabs>
      <w:spacing w:line="240" w:lineRule="auto"/>
      <w:jc w:val="right"/>
      <w:rPr>
        <w:rFonts w:eastAsia="IBM Plex Sans"/>
        <w:color w:val="142B52"/>
      </w:rPr>
    </w:pPr>
  </w:p>
  <w:p w14:paraId="217AFFE9" w14:textId="77777777" w:rsidR="00764426" w:rsidRPr="00232330" w:rsidRDefault="00F27DDA" w:rsidP="00232330">
    <w:pPr>
      <w:tabs>
        <w:tab w:val="right" w:pos="9270"/>
      </w:tabs>
      <w:spacing w:line="240" w:lineRule="auto"/>
      <w:jc w:val="right"/>
      <w:rPr>
        <w:rFonts w:eastAsia="IBM Plex Sans"/>
        <w:color w:val="142B52"/>
      </w:rPr>
    </w:pPr>
    <w:r w:rsidRPr="00232330">
      <w:rPr>
        <w:rFonts w:eastAsia="IBM Plex Sans"/>
        <w:color w:val="142B52"/>
      </w:rPr>
      <w:t xml:space="preserve">Page </w:t>
    </w:r>
    <w:r w:rsidRPr="00232330">
      <w:rPr>
        <w:rFonts w:eastAsia="IBM Plex Sans"/>
        <w:color w:val="142B52"/>
      </w:rPr>
      <w:fldChar w:fldCharType="begin"/>
    </w:r>
    <w:r w:rsidRPr="00232330">
      <w:rPr>
        <w:rFonts w:eastAsia="IBM Plex Sans"/>
        <w:color w:val="142B52"/>
      </w:rPr>
      <w:instrText>PAGE</w:instrText>
    </w:r>
    <w:r w:rsidRPr="00232330">
      <w:rPr>
        <w:rFonts w:eastAsia="IBM Plex Sans"/>
        <w:color w:val="142B52"/>
      </w:rPr>
      <w:fldChar w:fldCharType="separate"/>
    </w:r>
    <w:r w:rsidRPr="00232330">
      <w:rPr>
        <w:rFonts w:eastAsia="IBM Plex Sans"/>
        <w:color w:val="142B52"/>
      </w:rPr>
      <w:t>2</w:t>
    </w:r>
    <w:r w:rsidRPr="00232330">
      <w:rPr>
        <w:rFonts w:eastAsia="IBM Plex Sans"/>
        <w:color w:val="142B5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BC6EF" w14:textId="77777777" w:rsidR="00764426" w:rsidRPr="00232330" w:rsidRDefault="00764426">
    <w:pPr>
      <w:pStyle w:val="Footer"/>
      <w:rPr>
        <w:color w:val="142B52"/>
        <w:sz w:val="24"/>
        <w:szCs w:val="24"/>
      </w:rPr>
    </w:pPr>
  </w:p>
  <w:p w14:paraId="75BBA4B9" w14:textId="77777777" w:rsidR="00764426" w:rsidRPr="00232330" w:rsidRDefault="00764426">
    <w:pPr>
      <w:pStyle w:val="Footer"/>
      <w:rPr>
        <w:color w:val="142B52"/>
        <w:sz w:val="24"/>
        <w:szCs w:val="24"/>
      </w:rPr>
    </w:pPr>
  </w:p>
  <w:p w14:paraId="3AAB4E9C" w14:textId="77777777" w:rsidR="00764426" w:rsidRPr="00232330" w:rsidRDefault="00764426">
    <w:pPr>
      <w:pStyle w:val="Footer"/>
      <w:rPr>
        <w:color w:val="142B52"/>
        <w:sz w:val="24"/>
        <w:szCs w:val="24"/>
      </w:rPr>
    </w:pPr>
  </w:p>
  <w:p w14:paraId="58F384D2" w14:textId="77777777" w:rsidR="00764426" w:rsidRPr="00EB69A9" w:rsidRDefault="00F27DDA">
    <w:pPr>
      <w:pStyle w:val="Footer"/>
      <w:rPr>
        <w:b/>
        <w:bCs/>
        <w:color w:val="142B52"/>
        <w:sz w:val="24"/>
        <w:szCs w:val="24"/>
      </w:rPr>
    </w:pPr>
    <w:r w:rsidRPr="00EB69A9">
      <w:rPr>
        <w:b/>
        <w:bCs/>
        <w:color w:val="142B52"/>
        <w:sz w:val="24"/>
        <w:szCs w:val="24"/>
      </w:rPr>
      <w:t>A Leading Voice for Carolinas’ Credit Unions</w:t>
    </w:r>
    <w:r>
      <w:rPr>
        <w:color w:val="46A7B7"/>
        <w:sz w:val="20"/>
        <w:szCs w:val="20"/>
      </w:rPr>
      <w:tab/>
    </w:r>
    <w:r>
      <w:rPr>
        <w:color w:val="46A7B7"/>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E3E41" w14:textId="77777777" w:rsidR="000D18F5" w:rsidRDefault="000D18F5">
      <w:pPr>
        <w:spacing w:line="240" w:lineRule="auto"/>
      </w:pPr>
      <w:r>
        <w:separator/>
      </w:r>
    </w:p>
  </w:footnote>
  <w:footnote w:type="continuationSeparator" w:id="0">
    <w:p w14:paraId="104F7A6E" w14:textId="77777777" w:rsidR="000D18F5" w:rsidRDefault="000D18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C82FF" w14:textId="77777777" w:rsidR="00764426" w:rsidRDefault="00F27DDA" w:rsidP="00232330">
    <w:pPr>
      <w:jc w:val="center"/>
    </w:pPr>
    <w:r w:rsidRPr="003876C3">
      <w:rPr>
        <w:noProof/>
        <w:color w:val="142B52"/>
      </w:rPr>
      <w:drawing>
        <wp:anchor distT="0" distB="0" distL="114300" distR="114300" simplePos="0" relativeHeight="251661312" behindDoc="0" locked="0" layoutInCell="1" allowOverlap="1" wp14:anchorId="2C9633CA" wp14:editId="194D8688">
          <wp:simplePos x="0" y="0"/>
          <wp:positionH relativeFrom="column">
            <wp:posOffset>0</wp:posOffset>
          </wp:positionH>
          <wp:positionV relativeFrom="paragraph">
            <wp:posOffset>5536</wp:posOffset>
          </wp:positionV>
          <wp:extent cx="2109389" cy="341520"/>
          <wp:effectExtent l="0" t="0" r="0" b="1905"/>
          <wp:wrapNone/>
          <wp:docPr id="1526390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84554"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09389" cy="3415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E983" w14:textId="77777777" w:rsidR="00764426" w:rsidRDefault="00F27DDA" w:rsidP="00937A9E">
    <w:pPr>
      <w:spacing w:before="120"/>
      <w:jc w:val="right"/>
      <w:rPr>
        <w:color w:val="142B52"/>
        <w:sz w:val="20"/>
        <w:szCs w:val="20"/>
      </w:rPr>
    </w:pPr>
    <w:r>
      <w:rPr>
        <w:noProof/>
        <w:color w:val="142B52"/>
      </w:rPr>
      <w:drawing>
        <wp:anchor distT="0" distB="0" distL="114300" distR="114300" simplePos="0" relativeHeight="251659264" behindDoc="1" locked="0" layoutInCell="1" allowOverlap="1" wp14:anchorId="4E2EC115" wp14:editId="72B22CE0">
          <wp:simplePos x="0" y="0"/>
          <wp:positionH relativeFrom="margin">
            <wp:align>center</wp:align>
          </wp:positionH>
          <wp:positionV relativeFrom="paragraph">
            <wp:posOffset>-240030</wp:posOffset>
          </wp:positionV>
          <wp:extent cx="7325833" cy="1951990"/>
          <wp:effectExtent l="0" t="0" r="8890" b="0"/>
          <wp:wrapNone/>
          <wp:docPr id="119867502" name="Picture 1" descr="A grey and white background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840091" name="Picture 1" descr="A grey and white background with whit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25833" cy="1951990"/>
                  </a:xfrm>
                  <a:prstGeom prst="rect">
                    <a:avLst/>
                  </a:prstGeom>
                </pic:spPr>
              </pic:pic>
            </a:graphicData>
          </a:graphic>
          <wp14:sizeRelH relativeFrom="page">
            <wp14:pctWidth>0</wp14:pctWidth>
          </wp14:sizeRelH>
          <wp14:sizeRelV relativeFrom="page">
            <wp14:pctHeight>0</wp14:pctHeight>
          </wp14:sizeRelV>
        </wp:anchor>
      </w:drawing>
    </w:r>
    <w:r w:rsidRPr="003876C3">
      <w:rPr>
        <w:noProof/>
        <w:color w:val="142B52"/>
      </w:rPr>
      <w:drawing>
        <wp:anchor distT="0" distB="0" distL="114300" distR="114300" simplePos="0" relativeHeight="251660288" behindDoc="0" locked="0" layoutInCell="1" allowOverlap="1" wp14:anchorId="38707CF2" wp14:editId="4E761539">
          <wp:simplePos x="0" y="0"/>
          <wp:positionH relativeFrom="column">
            <wp:posOffset>20320</wp:posOffset>
          </wp:positionH>
          <wp:positionV relativeFrom="paragraph">
            <wp:posOffset>191770</wp:posOffset>
          </wp:positionV>
          <wp:extent cx="2669540" cy="431800"/>
          <wp:effectExtent l="0" t="0" r="0" b="0"/>
          <wp:wrapNone/>
          <wp:docPr id="20350835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04626"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2669540" cy="431800"/>
                  </a:xfrm>
                  <a:prstGeom prst="rect">
                    <a:avLst/>
                  </a:prstGeom>
                </pic:spPr>
              </pic:pic>
            </a:graphicData>
          </a:graphic>
          <wp14:sizeRelH relativeFrom="page">
            <wp14:pctWidth>0</wp14:pctWidth>
          </wp14:sizeRelH>
          <wp14:sizeRelV relativeFrom="page">
            <wp14:pctHeight>0</wp14:pctHeight>
          </wp14:sizeRelV>
        </wp:anchor>
      </w:drawing>
    </w:r>
    <w:r w:rsidRPr="003876C3">
      <w:rPr>
        <w:color w:val="142B52"/>
        <w:sz w:val="20"/>
        <w:szCs w:val="20"/>
      </w:rPr>
      <w:t xml:space="preserve">508 Hampton Street, Suite </w:t>
    </w:r>
    <w:r>
      <w:rPr>
        <w:color w:val="142B52"/>
        <w:sz w:val="20"/>
        <w:szCs w:val="20"/>
      </w:rPr>
      <w:t>3</w:t>
    </w:r>
    <w:r w:rsidRPr="003876C3">
      <w:rPr>
        <w:color w:val="142B52"/>
        <w:sz w:val="20"/>
        <w:szCs w:val="20"/>
      </w:rPr>
      <w:t>00</w:t>
    </w:r>
    <w:r>
      <w:rPr>
        <w:color w:val="142B52"/>
        <w:sz w:val="20"/>
        <w:szCs w:val="20"/>
      </w:rPr>
      <w:br/>
    </w:r>
    <w:r w:rsidRPr="003876C3">
      <w:rPr>
        <w:color w:val="142B52"/>
        <w:sz w:val="20"/>
        <w:szCs w:val="20"/>
      </w:rPr>
      <w:t>Columbia, SC 29201</w:t>
    </w:r>
  </w:p>
  <w:p w14:paraId="1FEC3D5A" w14:textId="77777777" w:rsidR="00764426" w:rsidRDefault="00F27DDA" w:rsidP="00937A9E">
    <w:pPr>
      <w:spacing w:before="120"/>
      <w:jc w:val="right"/>
      <w:rPr>
        <w:color w:val="142B52"/>
        <w:sz w:val="20"/>
        <w:szCs w:val="20"/>
      </w:rPr>
    </w:pPr>
    <w:r w:rsidRPr="003876C3">
      <w:rPr>
        <w:color w:val="142B52"/>
        <w:sz w:val="20"/>
        <w:szCs w:val="20"/>
      </w:rPr>
      <w:t>800-822-8859</w:t>
    </w:r>
  </w:p>
  <w:p w14:paraId="44FA7BB7" w14:textId="77777777" w:rsidR="00764426" w:rsidRDefault="00F27DDA" w:rsidP="003876C3">
    <w:pPr>
      <w:spacing w:before="120"/>
      <w:jc w:val="right"/>
      <w:rPr>
        <w:color w:val="46A7B7"/>
        <w:sz w:val="20"/>
        <w:szCs w:val="20"/>
      </w:rPr>
    </w:pPr>
    <w:r w:rsidRPr="003876C3">
      <w:rPr>
        <w:color w:val="46A7B7"/>
        <w:sz w:val="20"/>
        <w:szCs w:val="20"/>
      </w:rPr>
      <w:t>carolinasleague.org</w:t>
    </w:r>
  </w:p>
  <w:p w14:paraId="5868E309" w14:textId="77777777" w:rsidR="00764426" w:rsidRPr="003876C3" w:rsidRDefault="00764426" w:rsidP="003876C3">
    <w:pPr>
      <w:spacing w:before="120"/>
      <w:jc w:val="right"/>
      <w:rPr>
        <w:color w:val="46A7B7"/>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F2F"/>
    <w:multiLevelType w:val="hybridMultilevel"/>
    <w:tmpl w:val="FA3699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C9145C5"/>
    <w:multiLevelType w:val="hybridMultilevel"/>
    <w:tmpl w:val="671C0464"/>
    <w:lvl w:ilvl="0" w:tplc="D1403550">
      <w:start w:val="1"/>
      <w:numFmt w:val="upperRoman"/>
      <w:lvlText w:val="%1."/>
      <w:lvlJc w:val="right"/>
      <w:pPr>
        <w:ind w:left="720" w:hanging="360"/>
      </w:pPr>
      <w:rPr>
        <w:rFonts w:hint="default"/>
        <w:b w:val="0"/>
        <w:bCs w:val="0"/>
        <w:i w:val="0"/>
        <w:iCs w:val="0"/>
        <w:color w:val="auto"/>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F05CD"/>
    <w:multiLevelType w:val="hybridMultilevel"/>
    <w:tmpl w:val="C22822B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AF27011"/>
    <w:multiLevelType w:val="hybridMultilevel"/>
    <w:tmpl w:val="2AF8B08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9822D31"/>
    <w:multiLevelType w:val="hybridMultilevel"/>
    <w:tmpl w:val="96748AA8"/>
    <w:lvl w:ilvl="0" w:tplc="FFFFFFFF">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2D111F7E"/>
    <w:multiLevelType w:val="hybridMultilevel"/>
    <w:tmpl w:val="AD2CF1AA"/>
    <w:lvl w:ilvl="0" w:tplc="04090001">
      <w:start w:val="1"/>
      <w:numFmt w:val="bullet"/>
      <w:lvlText w:val=""/>
      <w:lvlJc w:val="left"/>
      <w:pPr>
        <w:ind w:left="2982" w:hanging="360"/>
      </w:pPr>
      <w:rPr>
        <w:rFonts w:ascii="Symbol" w:hAnsi="Symbol" w:hint="default"/>
      </w:rPr>
    </w:lvl>
    <w:lvl w:ilvl="1" w:tplc="04090003" w:tentative="1">
      <w:start w:val="1"/>
      <w:numFmt w:val="bullet"/>
      <w:lvlText w:val="o"/>
      <w:lvlJc w:val="left"/>
      <w:pPr>
        <w:ind w:left="3702" w:hanging="360"/>
      </w:pPr>
      <w:rPr>
        <w:rFonts w:ascii="Courier New" w:hAnsi="Courier New" w:cs="Courier New" w:hint="default"/>
      </w:rPr>
    </w:lvl>
    <w:lvl w:ilvl="2" w:tplc="04090005" w:tentative="1">
      <w:start w:val="1"/>
      <w:numFmt w:val="bullet"/>
      <w:lvlText w:val=""/>
      <w:lvlJc w:val="left"/>
      <w:pPr>
        <w:ind w:left="4422" w:hanging="360"/>
      </w:pPr>
      <w:rPr>
        <w:rFonts w:ascii="Wingdings" w:hAnsi="Wingdings" w:hint="default"/>
      </w:rPr>
    </w:lvl>
    <w:lvl w:ilvl="3" w:tplc="04090001" w:tentative="1">
      <w:start w:val="1"/>
      <w:numFmt w:val="bullet"/>
      <w:lvlText w:val=""/>
      <w:lvlJc w:val="left"/>
      <w:pPr>
        <w:ind w:left="5142" w:hanging="360"/>
      </w:pPr>
      <w:rPr>
        <w:rFonts w:ascii="Symbol" w:hAnsi="Symbol" w:hint="default"/>
      </w:rPr>
    </w:lvl>
    <w:lvl w:ilvl="4" w:tplc="04090003" w:tentative="1">
      <w:start w:val="1"/>
      <w:numFmt w:val="bullet"/>
      <w:lvlText w:val="o"/>
      <w:lvlJc w:val="left"/>
      <w:pPr>
        <w:ind w:left="5862" w:hanging="360"/>
      </w:pPr>
      <w:rPr>
        <w:rFonts w:ascii="Courier New" w:hAnsi="Courier New" w:cs="Courier New" w:hint="default"/>
      </w:rPr>
    </w:lvl>
    <w:lvl w:ilvl="5" w:tplc="04090005" w:tentative="1">
      <w:start w:val="1"/>
      <w:numFmt w:val="bullet"/>
      <w:lvlText w:val=""/>
      <w:lvlJc w:val="left"/>
      <w:pPr>
        <w:ind w:left="6582" w:hanging="360"/>
      </w:pPr>
      <w:rPr>
        <w:rFonts w:ascii="Wingdings" w:hAnsi="Wingdings" w:hint="default"/>
      </w:rPr>
    </w:lvl>
    <w:lvl w:ilvl="6" w:tplc="04090001" w:tentative="1">
      <w:start w:val="1"/>
      <w:numFmt w:val="bullet"/>
      <w:lvlText w:val=""/>
      <w:lvlJc w:val="left"/>
      <w:pPr>
        <w:ind w:left="7302" w:hanging="360"/>
      </w:pPr>
      <w:rPr>
        <w:rFonts w:ascii="Symbol" w:hAnsi="Symbol" w:hint="default"/>
      </w:rPr>
    </w:lvl>
    <w:lvl w:ilvl="7" w:tplc="04090003" w:tentative="1">
      <w:start w:val="1"/>
      <w:numFmt w:val="bullet"/>
      <w:lvlText w:val="o"/>
      <w:lvlJc w:val="left"/>
      <w:pPr>
        <w:ind w:left="8022" w:hanging="360"/>
      </w:pPr>
      <w:rPr>
        <w:rFonts w:ascii="Courier New" w:hAnsi="Courier New" w:cs="Courier New" w:hint="default"/>
      </w:rPr>
    </w:lvl>
    <w:lvl w:ilvl="8" w:tplc="04090005" w:tentative="1">
      <w:start w:val="1"/>
      <w:numFmt w:val="bullet"/>
      <w:lvlText w:val=""/>
      <w:lvlJc w:val="left"/>
      <w:pPr>
        <w:ind w:left="8742" w:hanging="360"/>
      </w:pPr>
      <w:rPr>
        <w:rFonts w:ascii="Wingdings" w:hAnsi="Wingdings" w:hint="default"/>
      </w:rPr>
    </w:lvl>
  </w:abstractNum>
  <w:abstractNum w:abstractNumId="6" w15:restartNumberingAfterBreak="0">
    <w:nsid w:val="31900B89"/>
    <w:multiLevelType w:val="hybridMultilevel"/>
    <w:tmpl w:val="6582970A"/>
    <w:lvl w:ilvl="0" w:tplc="C97ADD40">
      <w:start w:val="1"/>
      <w:numFmt w:val="upp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7822602"/>
    <w:multiLevelType w:val="hybridMultilevel"/>
    <w:tmpl w:val="AB80F0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CED1995"/>
    <w:multiLevelType w:val="hybridMultilevel"/>
    <w:tmpl w:val="FC944A30"/>
    <w:lvl w:ilvl="0" w:tplc="675C8DD8">
      <w:start w:val="1"/>
      <w:numFmt w:val="upperLetter"/>
      <w:lvlText w:val="%1."/>
      <w:lvlJc w:val="left"/>
      <w:pPr>
        <w:ind w:left="1440" w:hanging="360"/>
      </w:pPr>
      <w:rPr>
        <w:rFonts w:hint="default"/>
        <w:b w:val="0"/>
        <w:b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40665C50"/>
    <w:multiLevelType w:val="hybridMultilevel"/>
    <w:tmpl w:val="4330E0A0"/>
    <w:lvl w:ilvl="0" w:tplc="0409000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 w15:restartNumberingAfterBreak="0">
    <w:nsid w:val="4279553C"/>
    <w:multiLevelType w:val="hybridMultilevel"/>
    <w:tmpl w:val="6096D6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ACB21F6"/>
    <w:multiLevelType w:val="hybridMultilevel"/>
    <w:tmpl w:val="405444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F1B568C"/>
    <w:multiLevelType w:val="hybridMultilevel"/>
    <w:tmpl w:val="0D3AB8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6B321938"/>
    <w:multiLevelType w:val="hybridMultilevel"/>
    <w:tmpl w:val="4E2EBA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3262C1"/>
    <w:multiLevelType w:val="hybridMultilevel"/>
    <w:tmpl w:val="B7CA304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FC81B27"/>
    <w:multiLevelType w:val="hybridMultilevel"/>
    <w:tmpl w:val="A3E649B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3A543A2"/>
    <w:multiLevelType w:val="hybridMultilevel"/>
    <w:tmpl w:val="4976C15C"/>
    <w:lvl w:ilvl="0" w:tplc="FFFFFFFF">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76113210"/>
    <w:multiLevelType w:val="hybridMultilevel"/>
    <w:tmpl w:val="1AC8B282"/>
    <w:lvl w:ilvl="0" w:tplc="FFFFFFFF">
      <w:start w:val="1"/>
      <w:numFmt w:val="upp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7A502E33"/>
    <w:multiLevelType w:val="hybridMultilevel"/>
    <w:tmpl w:val="40520104"/>
    <w:lvl w:ilvl="0" w:tplc="0409000F">
      <w:start w:val="1"/>
      <w:numFmt w:val="decimal"/>
      <w:lvlText w:val="%1."/>
      <w:lvlJc w:val="left"/>
      <w:pPr>
        <w:ind w:left="2262" w:hanging="360"/>
      </w:pPr>
    </w:lvl>
    <w:lvl w:ilvl="1" w:tplc="04090019" w:tentative="1">
      <w:start w:val="1"/>
      <w:numFmt w:val="lowerLetter"/>
      <w:lvlText w:val="%2."/>
      <w:lvlJc w:val="left"/>
      <w:pPr>
        <w:ind w:left="2982" w:hanging="360"/>
      </w:pPr>
    </w:lvl>
    <w:lvl w:ilvl="2" w:tplc="0409001B" w:tentative="1">
      <w:start w:val="1"/>
      <w:numFmt w:val="lowerRoman"/>
      <w:lvlText w:val="%3."/>
      <w:lvlJc w:val="right"/>
      <w:pPr>
        <w:ind w:left="3702" w:hanging="180"/>
      </w:pPr>
    </w:lvl>
    <w:lvl w:ilvl="3" w:tplc="0409000F" w:tentative="1">
      <w:start w:val="1"/>
      <w:numFmt w:val="decimal"/>
      <w:lvlText w:val="%4."/>
      <w:lvlJc w:val="left"/>
      <w:pPr>
        <w:ind w:left="4422" w:hanging="360"/>
      </w:pPr>
    </w:lvl>
    <w:lvl w:ilvl="4" w:tplc="04090019" w:tentative="1">
      <w:start w:val="1"/>
      <w:numFmt w:val="lowerLetter"/>
      <w:lvlText w:val="%5."/>
      <w:lvlJc w:val="left"/>
      <w:pPr>
        <w:ind w:left="5142" w:hanging="360"/>
      </w:pPr>
    </w:lvl>
    <w:lvl w:ilvl="5" w:tplc="0409001B" w:tentative="1">
      <w:start w:val="1"/>
      <w:numFmt w:val="lowerRoman"/>
      <w:lvlText w:val="%6."/>
      <w:lvlJc w:val="right"/>
      <w:pPr>
        <w:ind w:left="5862" w:hanging="180"/>
      </w:pPr>
    </w:lvl>
    <w:lvl w:ilvl="6" w:tplc="0409000F" w:tentative="1">
      <w:start w:val="1"/>
      <w:numFmt w:val="decimal"/>
      <w:lvlText w:val="%7."/>
      <w:lvlJc w:val="left"/>
      <w:pPr>
        <w:ind w:left="6582" w:hanging="360"/>
      </w:pPr>
    </w:lvl>
    <w:lvl w:ilvl="7" w:tplc="04090019" w:tentative="1">
      <w:start w:val="1"/>
      <w:numFmt w:val="lowerLetter"/>
      <w:lvlText w:val="%8."/>
      <w:lvlJc w:val="left"/>
      <w:pPr>
        <w:ind w:left="7302" w:hanging="360"/>
      </w:pPr>
    </w:lvl>
    <w:lvl w:ilvl="8" w:tplc="0409001B" w:tentative="1">
      <w:start w:val="1"/>
      <w:numFmt w:val="lowerRoman"/>
      <w:lvlText w:val="%9."/>
      <w:lvlJc w:val="right"/>
      <w:pPr>
        <w:ind w:left="8022" w:hanging="180"/>
      </w:pPr>
    </w:lvl>
  </w:abstractNum>
  <w:num w:numId="1" w16cid:durableId="1389955162">
    <w:abstractNumId w:val="1"/>
  </w:num>
  <w:num w:numId="2" w16cid:durableId="2053579878">
    <w:abstractNumId w:val="4"/>
  </w:num>
  <w:num w:numId="3" w16cid:durableId="1931617362">
    <w:abstractNumId w:val="16"/>
  </w:num>
  <w:num w:numId="4" w16cid:durableId="439447011">
    <w:abstractNumId w:val="14"/>
  </w:num>
  <w:num w:numId="5" w16cid:durableId="1446193969">
    <w:abstractNumId w:val="17"/>
  </w:num>
  <w:num w:numId="6" w16cid:durableId="188227650">
    <w:abstractNumId w:val="11"/>
  </w:num>
  <w:num w:numId="7" w16cid:durableId="1379403847">
    <w:abstractNumId w:val="7"/>
  </w:num>
  <w:num w:numId="8" w16cid:durableId="747994180">
    <w:abstractNumId w:val="9"/>
  </w:num>
  <w:num w:numId="9" w16cid:durableId="1829519770">
    <w:abstractNumId w:val="15"/>
  </w:num>
  <w:num w:numId="10" w16cid:durableId="1342656420">
    <w:abstractNumId w:val="18"/>
  </w:num>
  <w:num w:numId="11" w16cid:durableId="1860926079">
    <w:abstractNumId w:val="5"/>
  </w:num>
  <w:num w:numId="12" w16cid:durableId="603652967">
    <w:abstractNumId w:val="8"/>
  </w:num>
  <w:num w:numId="13" w16cid:durableId="1251893367">
    <w:abstractNumId w:val="0"/>
  </w:num>
  <w:num w:numId="14" w16cid:durableId="1197305474">
    <w:abstractNumId w:val="10"/>
  </w:num>
  <w:num w:numId="15" w16cid:durableId="639844637">
    <w:abstractNumId w:val="6"/>
  </w:num>
  <w:num w:numId="16" w16cid:durableId="943808592">
    <w:abstractNumId w:val="2"/>
  </w:num>
  <w:num w:numId="17" w16cid:durableId="1262764262">
    <w:abstractNumId w:val="13"/>
  </w:num>
  <w:num w:numId="18" w16cid:durableId="1120340405">
    <w:abstractNumId w:val="3"/>
  </w:num>
  <w:num w:numId="19" w16cid:durableId="12400206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F5"/>
    <w:rsid w:val="00000513"/>
    <w:rsid w:val="00022D0C"/>
    <w:rsid w:val="00025915"/>
    <w:rsid w:val="0009278F"/>
    <w:rsid w:val="000D18F5"/>
    <w:rsid w:val="000F2DC9"/>
    <w:rsid w:val="001401B5"/>
    <w:rsid w:val="00380E56"/>
    <w:rsid w:val="003E13B9"/>
    <w:rsid w:val="004F4E39"/>
    <w:rsid w:val="00527505"/>
    <w:rsid w:val="00586E9B"/>
    <w:rsid w:val="005A26F5"/>
    <w:rsid w:val="006671F3"/>
    <w:rsid w:val="00690241"/>
    <w:rsid w:val="006E2ADA"/>
    <w:rsid w:val="00764426"/>
    <w:rsid w:val="0079360A"/>
    <w:rsid w:val="00840F71"/>
    <w:rsid w:val="008739ED"/>
    <w:rsid w:val="008F2786"/>
    <w:rsid w:val="008F2C9D"/>
    <w:rsid w:val="00912D36"/>
    <w:rsid w:val="0094238C"/>
    <w:rsid w:val="00982586"/>
    <w:rsid w:val="009C5C7F"/>
    <w:rsid w:val="00B55099"/>
    <w:rsid w:val="00BA68D3"/>
    <w:rsid w:val="00BC5CC6"/>
    <w:rsid w:val="00C1423C"/>
    <w:rsid w:val="00C14318"/>
    <w:rsid w:val="00C26326"/>
    <w:rsid w:val="00CA5FC5"/>
    <w:rsid w:val="00DA52F5"/>
    <w:rsid w:val="00E2420F"/>
    <w:rsid w:val="00E93172"/>
    <w:rsid w:val="00F00A34"/>
    <w:rsid w:val="00F2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8906"/>
  <w15:chartTrackingRefBased/>
  <w15:docId w15:val="{5F140725-1725-4CD4-8500-02FA5B2D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2F5"/>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DA5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2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2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2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2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2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2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2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2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2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2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2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2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2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2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2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2F5"/>
    <w:rPr>
      <w:rFonts w:eastAsiaTheme="majorEastAsia" w:cstheme="majorBidi"/>
      <w:color w:val="272727" w:themeColor="text1" w:themeTint="D8"/>
    </w:rPr>
  </w:style>
  <w:style w:type="paragraph" w:styleId="Title">
    <w:name w:val="Title"/>
    <w:basedOn w:val="Normal"/>
    <w:next w:val="Normal"/>
    <w:link w:val="TitleChar"/>
    <w:uiPriority w:val="10"/>
    <w:qFormat/>
    <w:rsid w:val="00DA5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2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2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2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2F5"/>
    <w:pPr>
      <w:spacing w:before="160"/>
      <w:jc w:val="center"/>
    </w:pPr>
    <w:rPr>
      <w:i/>
      <w:iCs/>
      <w:color w:val="404040" w:themeColor="text1" w:themeTint="BF"/>
    </w:rPr>
  </w:style>
  <w:style w:type="character" w:customStyle="1" w:styleId="QuoteChar">
    <w:name w:val="Quote Char"/>
    <w:basedOn w:val="DefaultParagraphFont"/>
    <w:link w:val="Quote"/>
    <w:uiPriority w:val="29"/>
    <w:rsid w:val="00DA52F5"/>
    <w:rPr>
      <w:i/>
      <w:iCs/>
      <w:color w:val="404040" w:themeColor="text1" w:themeTint="BF"/>
    </w:rPr>
  </w:style>
  <w:style w:type="paragraph" w:styleId="ListParagraph">
    <w:name w:val="List Paragraph"/>
    <w:basedOn w:val="Normal"/>
    <w:uiPriority w:val="34"/>
    <w:qFormat/>
    <w:rsid w:val="00DA52F5"/>
    <w:pPr>
      <w:ind w:left="720"/>
      <w:contextualSpacing/>
    </w:pPr>
  </w:style>
  <w:style w:type="character" w:styleId="IntenseEmphasis">
    <w:name w:val="Intense Emphasis"/>
    <w:basedOn w:val="DefaultParagraphFont"/>
    <w:uiPriority w:val="21"/>
    <w:qFormat/>
    <w:rsid w:val="00DA52F5"/>
    <w:rPr>
      <w:i/>
      <w:iCs/>
      <w:color w:val="0F4761" w:themeColor="accent1" w:themeShade="BF"/>
    </w:rPr>
  </w:style>
  <w:style w:type="paragraph" w:styleId="IntenseQuote">
    <w:name w:val="Intense Quote"/>
    <w:basedOn w:val="Normal"/>
    <w:next w:val="Normal"/>
    <w:link w:val="IntenseQuoteChar"/>
    <w:uiPriority w:val="30"/>
    <w:qFormat/>
    <w:rsid w:val="00DA5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2F5"/>
    <w:rPr>
      <w:i/>
      <w:iCs/>
      <w:color w:val="0F4761" w:themeColor="accent1" w:themeShade="BF"/>
    </w:rPr>
  </w:style>
  <w:style w:type="character" w:styleId="IntenseReference">
    <w:name w:val="Intense Reference"/>
    <w:basedOn w:val="DefaultParagraphFont"/>
    <w:uiPriority w:val="32"/>
    <w:qFormat/>
    <w:rsid w:val="00DA52F5"/>
    <w:rPr>
      <w:b/>
      <w:bCs/>
      <w:smallCaps/>
      <w:color w:val="0F4761" w:themeColor="accent1" w:themeShade="BF"/>
      <w:spacing w:val="5"/>
    </w:rPr>
  </w:style>
  <w:style w:type="paragraph" w:styleId="Footer">
    <w:name w:val="footer"/>
    <w:basedOn w:val="Normal"/>
    <w:link w:val="FooterChar"/>
    <w:uiPriority w:val="99"/>
    <w:unhideWhenUsed/>
    <w:rsid w:val="00DA52F5"/>
    <w:pPr>
      <w:tabs>
        <w:tab w:val="center" w:pos="4680"/>
        <w:tab w:val="right" w:pos="9360"/>
      </w:tabs>
      <w:spacing w:line="240" w:lineRule="auto"/>
    </w:pPr>
  </w:style>
  <w:style w:type="character" w:customStyle="1" w:styleId="FooterChar">
    <w:name w:val="Footer Char"/>
    <w:basedOn w:val="DefaultParagraphFont"/>
    <w:link w:val="Footer"/>
    <w:uiPriority w:val="99"/>
    <w:rsid w:val="00DA52F5"/>
    <w:rPr>
      <w:rFonts w:ascii="Arial" w:eastAsia="Arial" w:hAnsi="Arial" w:cs="Arial"/>
      <w:kern w:val="0"/>
      <w:sz w:val="22"/>
      <w:szCs w:val="22"/>
      <w:lang w:val="en"/>
      <w14:ligatures w14:val="none"/>
    </w:rPr>
  </w:style>
  <w:style w:type="character" w:styleId="Hyperlink">
    <w:name w:val="Hyperlink"/>
    <w:basedOn w:val="DefaultParagraphFont"/>
    <w:uiPriority w:val="99"/>
    <w:unhideWhenUsed/>
    <w:rsid w:val="008F2786"/>
    <w:rPr>
      <w:color w:val="467886" w:themeColor="hyperlink"/>
      <w:u w:val="single"/>
    </w:rPr>
  </w:style>
  <w:style w:type="character" w:styleId="UnresolvedMention">
    <w:name w:val="Unresolved Mention"/>
    <w:basedOn w:val="DefaultParagraphFont"/>
    <w:uiPriority w:val="99"/>
    <w:semiHidden/>
    <w:unhideWhenUsed/>
    <w:rsid w:val="008F2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nlane@carolinasleague.org</dc:creator>
  <cp:keywords/>
  <dc:description/>
  <cp:lastModifiedBy>nlane@carolinasleague.org</cp:lastModifiedBy>
  <cp:revision>12</cp:revision>
  <dcterms:created xsi:type="dcterms:W3CDTF">2025-09-10T16:56:00Z</dcterms:created>
  <dcterms:modified xsi:type="dcterms:W3CDTF">2025-09-24T13:45:00Z</dcterms:modified>
</cp:coreProperties>
</file>